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76FD9" w14:paraId="445D8136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D9A9AC0" w14:textId="77777777" w:rsidR="00676FD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F2FB5C7" w14:textId="77777777" w:rsidR="00676FD9" w:rsidRDefault="00000000">
            <w:pPr>
              <w:spacing w:after="0" w:line="240" w:lineRule="auto"/>
            </w:pPr>
            <w:r>
              <w:t>34400</w:t>
            </w:r>
          </w:p>
        </w:tc>
      </w:tr>
      <w:tr w:rsidR="00676FD9" w14:paraId="282CE39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32E05D" w14:textId="77777777" w:rsidR="00676FD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4D63145" w14:textId="77777777" w:rsidR="00676FD9" w:rsidRDefault="00000000">
            <w:pPr>
              <w:spacing w:after="0" w:line="240" w:lineRule="auto"/>
            </w:pPr>
            <w:r>
              <w:t>DJEČJI VRTIĆ BALONČIĆ</w:t>
            </w:r>
          </w:p>
        </w:tc>
      </w:tr>
      <w:tr w:rsidR="00676FD9" w14:paraId="660179F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D248C58" w14:textId="77777777" w:rsidR="00676FD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E290068" w14:textId="77777777" w:rsidR="00676FD9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1B0A696" w14:textId="77777777" w:rsidR="00676FD9" w:rsidRDefault="00000000">
      <w:r>
        <w:br/>
      </w:r>
    </w:p>
    <w:p w14:paraId="50F3A8A0" w14:textId="77777777" w:rsidR="00676FD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E98DDB0" w14:textId="77777777" w:rsidR="00676FD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97D816E" w14:textId="77777777" w:rsidR="00676FD9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EDB204C" w14:textId="77777777" w:rsidR="00676FD9" w:rsidRDefault="00676FD9"/>
    <w:p w14:paraId="5772B416" w14:textId="77777777" w:rsidR="00676FD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6739DD6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39CC915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AFF8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976E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3FAE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D281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8C33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5F749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1297BD3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0D766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845C9D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1D6EB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EADCB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359.812,76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E15F8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439.186,47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DA109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  <w:tr w:rsidR="00676FD9" w14:paraId="7F9AF9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2FD5C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FEA177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5336A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2338A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363.616,87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FFA4A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444.695,65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1DBD3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  <w:tr w:rsidR="00676FD9" w14:paraId="1334E0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4967F" w14:textId="77777777" w:rsidR="00676FD9" w:rsidRDefault="00676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EE8523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68B6C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CF83CD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3.804,11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039F2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5.509,18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BD705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144,8</w:t>
            </w:r>
          </w:p>
        </w:tc>
      </w:tr>
      <w:tr w:rsidR="00676FD9" w14:paraId="346811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21740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92DCCC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D6357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48C35E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7BC0EB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4D40F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76FD9" w14:paraId="27CAE3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F661F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AD695D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FCDCE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773A70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9.396,46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09DC64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8ABFE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9,7</w:t>
            </w:r>
          </w:p>
        </w:tc>
      </w:tr>
      <w:tr w:rsidR="00676FD9" w14:paraId="133A75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95000" w14:textId="77777777" w:rsidR="00676FD9" w:rsidRDefault="00676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CEE26D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11B95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1BEE82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9.396,46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9C0BA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36EB1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9,7</w:t>
            </w:r>
          </w:p>
        </w:tc>
      </w:tr>
      <w:tr w:rsidR="00676FD9" w14:paraId="38DC1A8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33F06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85B587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1C88B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C767CB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5B4C8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534EC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76FD9" w14:paraId="30C62FE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269E2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D4EFD2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13AB5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360F6A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A314C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1F7A4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76FD9" w14:paraId="2B4A0F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8D59C" w14:textId="77777777" w:rsidR="00676FD9" w:rsidRDefault="00676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97A4F4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FF1F8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27BF5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2A16B4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B5FA24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76FD9" w14:paraId="1A3A8D7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41B5F" w14:textId="77777777" w:rsidR="00676FD9" w:rsidRDefault="00676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DAE25A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A848A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2B870F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13.200,57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93DFD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6.419,18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BF032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48,6</w:t>
            </w:r>
          </w:p>
        </w:tc>
      </w:tr>
    </w:tbl>
    <w:p w14:paraId="53523698" w14:textId="77777777" w:rsidR="00676FD9" w:rsidRDefault="00676FD9">
      <w:pPr>
        <w:spacing w:after="0"/>
      </w:pPr>
    </w:p>
    <w:p w14:paraId="140544AE" w14:textId="77777777" w:rsidR="00676FD9" w:rsidRDefault="00000000">
      <w:r>
        <w:t xml:space="preserve">U razdoblju od 1.siječnja do 31. prosinca 2025. prihodi poslovanja su ostvareni u iznosu od 439.186,47 EUR. Najznačajnije povećanje prihoda poslovanja ostvareno je od prihoda iz nadležnog proračuna za financiranje rashoda poslovanja. Najznačajnije smanjenje  prihoda poslovanja bilježi se od pomoći iz inozemstva i od subjekta unutar općeg proračuna. Rashodi poslovanja od 1. siječnja do 31. prosinca 2025. ostvareni su u iznosu od 444.695,65 EUR. Najznačajnije povećanje rashoda evidentirano je na rashodima za plaće.  Najznačajnije </w:t>
      </w:r>
      <w:r>
        <w:lastRenderedPageBreak/>
        <w:t>smanjenje rashoda poslovanja bilježi se na ostalim financijskim rashodima. U navedenom razdoblju nema ostvarenih prihoda od prodaje nefinancijske imovine, dok su rashodi za nabavu nefinancijske imovine ostvareni u iznosu od 910,00 EUR. U navedenom razdoblju nije bilo ostvarenih primitaka i izdataka od financijske imovine i zaduživanja. U razdoblju od 1. siječanj do 31. prosinca 2025. ostvaren je manjak prihoda poslovanja u iznosu od 5.509,18 EUR, manjak prihoda od nefinancijske imovine u iznosu od 910,00 EUR, slijedom čega je na kraju izvještajnog razdoblja ostvaren ukupan manjak prihoda i primitaka u iznosu od 6.419,18 EUR.</w:t>
      </w:r>
    </w:p>
    <w:p w14:paraId="29288A6C" w14:textId="77777777" w:rsidR="00676FD9" w:rsidRDefault="00000000">
      <w:r>
        <w:br/>
      </w:r>
    </w:p>
    <w:p w14:paraId="13532874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78AA9D6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3AE19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AEB9E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DF40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76C0A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877A6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30819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225F69C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4FE43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7B30C5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AED01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30785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359.812,76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B45015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439.186,47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11C82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41694311" w14:textId="77777777" w:rsidR="00676FD9" w:rsidRDefault="00676FD9">
      <w:pPr>
        <w:spacing w:after="0"/>
      </w:pPr>
    </w:p>
    <w:p w14:paraId="7E3ECC39" w14:textId="77777777" w:rsidR="00676FD9" w:rsidRDefault="00000000">
      <w:r>
        <w:t>Prihodi poslovanja su ostvareni u iznosu od 439.186,47 EUR odnosno 22,1% više u odnosu na prethodnu godinu.</w:t>
      </w:r>
    </w:p>
    <w:p w14:paraId="4A2D99DF" w14:textId="77777777" w:rsidR="00676FD9" w:rsidRDefault="00000000">
      <w:r>
        <w:t>U tablici je prikaz ostvarenih prihoda poslovanja.</w:t>
      </w:r>
    </w:p>
    <w:p w14:paraId="5274E0E5" w14:textId="77777777" w:rsidR="00676FD9" w:rsidRDefault="00000000">
      <w:r>
        <w:t> </w:t>
      </w:r>
    </w:p>
    <w:tbl>
      <w:tblPr>
        <w:tblStyle w:val="Reetkatablice"/>
        <w:tblW w:w="4454" w:type="pct"/>
        <w:tblLook w:val="04A0" w:firstRow="1" w:lastRow="0" w:firstColumn="1" w:lastColumn="0" w:noHBand="0" w:noVBand="1"/>
      </w:tblPr>
      <w:tblGrid>
        <w:gridCol w:w="1089"/>
        <w:gridCol w:w="2727"/>
        <w:gridCol w:w="1512"/>
        <w:gridCol w:w="1296"/>
        <w:gridCol w:w="1448"/>
      </w:tblGrid>
      <w:tr w:rsidR="00676FD9" w14:paraId="421DFD0E" w14:textId="77777777">
        <w:trPr>
          <w:trHeight w:val="878"/>
        </w:trPr>
        <w:tc>
          <w:tcPr>
            <w:tcW w:w="663" w:type="pct"/>
            <w:vAlign w:val="center"/>
          </w:tcPr>
          <w:p w14:paraId="68E485B5" w14:textId="77777777" w:rsidR="00676FD9" w:rsidRDefault="00000000">
            <w:pPr>
              <w:keepNext/>
              <w:jc w:val="center"/>
            </w:pPr>
            <w:proofErr w:type="spellStart"/>
            <w:r>
              <w:t>Rač</w:t>
            </w:r>
            <w:proofErr w:type="spellEnd"/>
            <w:r>
              <w:t xml:space="preserve">. iz </w:t>
            </w:r>
            <w:proofErr w:type="spellStart"/>
            <w:r>
              <w:t>rač.plana</w:t>
            </w:r>
            <w:proofErr w:type="spellEnd"/>
          </w:p>
        </w:tc>
        <w:tc>
          <w:tcPr>
            <w:tcW w:w="1729" w:type="pct"/>
            <w:vAlign w:val="center"/>
          </w:tcPr>
          <w:p w14:paraId="21EA6CC3" w14:textId="77777777" w:rsidR="00676FD9" w:rsidRDefault="00000000">
            <w:pPr>
              <w:keepNext/>
              <w:jc w:val="center"/>
            </w:pPr>
            <w:r>
              <w:t>Opis stavke</w:t>
            </w:r>
          </w:p>
        </w:tc>
        <w:tc>
          <w:tcPr>
            <w:tcW w:w="976" w:type="pct"/>
            <w:vAlign w:val="center"/>
          </w:tcPr>
          <w:p w14:paraId="395B3FEB" w14:textId="77777777" w:rsidR="00676FD9" w:rsidRDefault="00000000">
            <w:pPr>
              <w:keepNext/>
              <w:jc w:val="center"/>
            </w:pPr>
            <w:r>
              <w:t>2024.</w:t>
            </w:r>
          </w:p>
        </w:tc>
        <w:tc>
          <w:tcPr>
            <w:tcW w:w="692" w:type="pct"/>
            <w:vAlign w:val="center"/>
          </w:tcPr>
          <w:p w14:paraId="7CAFF45B" w14:textId="77777777" w:rsidR="00676FD9" w:rsidRDefault="00000000">
            <w:pPr>
              <w:keepNext/>
              <w:jc w:val="center"/>
            </w:pPr>
            <w:r>
              <w:t>2025.</w:t>
            </w:r>
          </w:p>
        </w:tc>
        <w:tc>
          <w:tcPr>
            <w:tcW w:w="936" w:type="pct"/>
            <w:vAlign w:val="center"/>
          </w:tcPr>
          <w:p w14:paraId="053E4D09" w14:textId="77777777" w:rsidR="00676FD9" w:rsidRDefault="00000000">
            <w:pPr>
              <w:keepNext/>
              <w:jc w:val="center"/>
            </w:pPr>
            <w:r>
              <w:t>Indeks</w:t>
            </w:r>
          </w:p>
        </w:tc>
      </w:tr>
      <w:tr w:rsidR="00676FD9" w14:paraId="7040B5FA" w14:textId="77777777">
        <w:trPr>
          <w:trHeight w:val="878"/>
        </w:trPr>
        <w:tc>
          <w:tcPr>
            <w:tcW w:w="663" w:type="pct"/>
            <w:vAlign w:val="center"/>
          </w:tcPr>
          <w:p w14:paraId="1381D110" w14:textId="77777777" w:rsidR="00676FD9" w:rsidRDefault="00000000">
            <w:pPr>
              <w:keepNext/>
              <w:jc w:val="center"/>
            </w:pPr>
            <w:r>
              <w:t>63</w:t>
            </w:r>
          </w:p>
        </w:tc>
        <w:tc>
          <w:tcPr>
            <w:tcW w:w="1729" w:type="pct"/>
            <w:vAlign w:val="center"/>
          </w:tcPr>
          <w:p w14:paraId="763E1785" w14:textId="77777777" w:rsidR="00676FD9" w:rsidRDefault="00000000">
            <w:pPr>
              <w:keepNext/>
              <w:jc w:val="center"/>
            </w:pPr>
            <w:r>
              <w:t>Pomoći iz inozemstva i od subjekata unutar općeg proračuna</w:t>
            </w:r>
          </w:p>
        </w:tc>
        <w:tc>
          <w:tcPr>
            <w:tcW w:w="976" w:type="pct"/>
            <w:vAlign w:val="center"/>
          </w:tcPr>
          <w:p w14:paraId="471938CF" w14:textId="77777777" w:rsidR="00676FD9" w:rsidRDefault="00000000">
            <w:pPr>
              <w:keepNext/>
              <w:jc w:val="center"/>
            </w:pPr>
            <w:r>
              <w:t>4.974,75</w:t>
            </w:r>
          </w:p>
        </w:tc>
        <w:tc>
          <w:tcPr>
            <w:tcW w:w="692" w:type="pct"/>
            <w:vAlign w:val="center"/>
          </w:tcPr>
          <w:p w14:paraId="2DA541D4" w14:textId="77777777" w:rsidR="00676FD9" w:rsidRDefault="00000000">
            <w:pPr>
              <w:keepNext/>
              <w:jc w:val="center"/>
            </w:pPr>
            <w:r>
              <w:t>687,80</w:t>
            </w:r>
          </w:p>
        </w:tc>
        <w:tc>
          <w:tcPr>
            <w:tcW w:w="936" w:type="pct"/>
            <w:vAlign w:val="center"/>
          </w:tcPr>
          <w:p w14:paraId="37DB39AF" w14:textId="77777777" w:rsidR="00676FD9" w:rsidRDefault="00000000">
            <w:pPr>
              <w:keepNext/>
              <w:jc w:val="center"/>
            </w:pPr>
            <w:r>
              <w:t>13,8</w:t>
            </w:r>
          </w:p>
        </w:tc>
      </w:tr>
      <w:tr w:rsidR="00676FD9" w14:paraId="07B0CEB3" w14:textId="77777777">
        <w:trPr>
          <w:trHeight w:val="542"/>
        </w:trPr>
        <w:tc>
          <w:tcPr>
            <w:tcW w:w="663" w:type="pct"/>
            <w:vAlign w:val="center"/>
          </w:tcPr>
          <w:p w14:paraId="7D923BFE" w14:textId="77777777" w:rsidR="00676FD9" w:rsidRDefault="00000000">
            <w:pPr>
              <w:keepNext/>
              <w:jc w:val="center"/>
            </w:pPr>
            <w:r>
              <w:t>64</w:t>
            </w:r>
          </w:p>
        </w:tc>
        <w:tc>
          <w:tcPr>
            <w:tcW w:w="1729" w:type="pct"/>
            <w:vAlign w:val="center"/>
          </w:tcPr>
          <w:p w14:paraId="6E1468FF" w14:textId="77777777" w:rsidR="00676FD9" w:rsidRDefault="00000000">
            <w:pPr>
              <w:keepNext/>
              <w:jc w:val="center"/>
            </w:pPr>
            <w:r>
              <w:t>Prihodi od imovine</w:t>
            </w:r>
          </w:p>
        </w:tc>
        <w:tc>
          <w:tcPr>
            <w:tcW w:w="976" w:type="pct"/>
            <w:vAlign w:val="center"/>
          </w:tcPr>
          <w:p w14:paraId="200CE3DE" w14:textId="77777777" w:rsidR="00676FD9" w:rsidRDefault="00000000">
            <w:pPr>
              <w:keepNext/>
              <w:jc w:val="center"/>
            </w:pPr>
            <w:r>
              <w:t>2,64</w:t>
            </w:r>
          </w:p>
        </w:tc>
        <w:tc>
          <w:tcPr>
            <w:tcW w:w="692" w:type="pct"/>
            <w:vAlign w:val="center"/>
          </w:tcPr>
          <w:p w14:paraId="298E7E69" w14:textId="77777777" w:rsidR="00676FD9" w:rsidRDefault="00000000">
            <w:pPr>
              <w:keepNext/>
              <w:jc w:val="center"/>
            </w:pPr>
            <w:r>
              <w:t>1,40</w:t>
            </w:r>
          </w:p>
        </w:tc>
        <w:tc>
          <w:tcPr>
            <w:tcW w:w="936" w:type="pct"/>
            <w:vAlign w:val="center"/>
          </w:tcPr>
          <w:p w14:paraId="5A9455EA" w14:textId="77777777" w:rsidR="00676FD9" w:rsidRDefault="00000000">
            <w:pPr>
              <w:keepNext/>
              <w:jc w:val="center"/>
            </w:pPr>
            <w:r>
              <w:t>53,0</w:t>
            </w:r>
          </w:p>
        </w:tc>
      </w:tr>
      <w:tr w:rsidR="00676FD9" w14:paraId="2A88C64F" w14:textId="77777777">
        <w:trPr>
          <w:trHeight w:val="1214"/>
        </w:trPr>
        <w:tc>
          <w:tcPr>
            <w:tcW w:w="663" w:type="pct"/>
            <w:vAlign w:val="center"/>
          </w:tcPr>
          <w:p w14:paraId="24F65097" w14:textId="77777777" w:rsidR="00676FD9" w:rsidRDefault="00000000">
            <w:pPr>
              <w:keepNext/>
              <w:jc w:val="center"/>
            </w:pPr>
            <w:r>
              <w:t>65</w:t>
            </w:r>
          </w:p>
        </w:tc>
        <w:tc>
          <w:tcPr>
            <w:tcW w:w="1729" w:type="pct"/>
            <w:vAlign w:val="center"/>
          </w:tcPr>
          <w:p w14:paraId="187E871A" w14:textId="77777777" w:rsidR="00676FD9" w:rsidRDefault="00000000">
            <w:pPr>
              <w:keepNext/>
              <w:jc w:val="center"/>
            </w:pPr>
            <w:r>
              <w:t>Prihodi od upravnih i administrativnih pristojbi, pristojbi po posebnim propisima i naknada</w:t>
            </w:r>
          </w:p>
        </w:tc>
        <w:tc>
          <w:tcPr>
            <w:tcW w:w="976" w:type="pct"/>
            <w:vAlign w:val="center"/>
          </w:tcPr>
          <w:p w14:paraId="4911A68B" w14:textId="77777777" w:rsidR="00676FD9" w:rsidRDefault="00000000">
            <w:pPr>
              <w:keepNext/>
              <w:jc w:val="center"/>
            </w:pPr>
            <w:r>
              <w:t>73.719,33</w:t>
            </w:r>
          </w:p>
        </w:tc>
        <w:tc>
          <w:tcPr>
            <w:tcW w:w="692" w:type="pct"/>
            <w:vAlign w:val="center"/>
          </w:tcPr>
          <w:p w14:paraId="452F01E1" w14:textId="77777777" w:rsidR="00676FD9" w:rsidRDefault="00000000">
            <w:pPr>
              <w:keepNext/>
              <w:jc w:val="center"/>
            </w:pPr>
            <w:r>
              <w:t>72.432,54</w:t>
            </w:r>
          </w:p>
        </w:tc>
        <w:tc>
          <w:tcPr>
            <w:tcW w:w="936" w:type="pct"/>
            <w:vAlign w:val="center"/>
          </w:tcPr>
          <w:p w14:paraId="3767F758" w14:textId="77777777" w:rsidR="00676FD9" w:rsidRDefault="00000000">
            <w:pPr>
              <w:keepNext/>
              <w:jc w:val="center"/>
            </w:pPr>
            <w:r>
              <w:t>98,3</w:t>
            </w:r>
          </w:p>
        </w:tc>
      </w:tr>
      <w:tr w:rsidR="00676FD9" w14:paraId="4440738D" w14:textId="77777777">
        <w:trPr>
          <w:trHeight w:val="1550"/>
        </w:trPr>
        <w:tc>
          <w:tcPr>
            <w:tcW w:w="663" w:type="pct"/>
            <w:vAlign w:val="center"/>
          </w:tcPr>
          <w:p w14:paraId="5C2C8848" w14:textId="77777777" w:rsidR="00676FD9" w:rsidRDefault="00000000">
            <w:pPr>
              <w:keepNext/>
              <w:jc w:val="center"/>
            </w:pPr>
            <w:r>
              <w:t>66</w:t>
            </w:r>
          </w:p>
        </w:tc>
        <w:tc>
          <w:tcPr>
            <w:tcW w:w="1729" w:type="pct"/>
            <w:vAlign w:val="center"/>
          </w:tcPr>
          <w:p w14:paraId="33752C37" w14:textId="77777777" w:rsidR="00676FD9" w:rsidRDefault="00000000">
            <w:pPr>
              <w:keepNext/>
              <w:jc w:val="center"/>
            </w:pPr>
            <w:r>
              <w:t>Prihodi od prodaje proizvoda i robe te pruženih usluga, prihodi od donacija te povrati po protestiranim jamstvima</w:t>
            </w:r>
          </w:p>
        </w:tc>
        <w:tc>
          <w:tcPr>
            <w:tcW w:w="976" w:type="pct"/>
            <w:vAlign w:val="center"/>
          </w:tcPr>
          <w:p w14:paraId="312E0FB3" w14:textId="77777777" w:rsidR="00676FD9" w:rsidRDefault="00000000">
            <w:pPr>
              <w:keepNext/>
              <w:jc w:val="center"/>
            </w:pPr>
            <w:r>
              <w:t>66,36</w:t>
            </w:r>
          </w:p>
        </w:tc>
        <w:tc>
          <w:tcPr>
            <w:tcW w:w="692" w:type="pct"/>
            <w:vAlign w:val="center"/>
          </w:tcPr>
          <w:p w14:paraId="4F1D1813" w14:textId="77777777" w:rsidR="00676FD9" w:rsidRDefault="00000000">
            <w:pPr>
              <w:keepNext/>
              <w:jc w:val="center"/>
            </w:pPr>
            <w:r>
              <w:t>2.300,00</w:t>
            </w:r>
          </w:p>
        </w:tc>
        <w:tc>
          <w:tcPr>
            <w:tcW w:w="936" w:type="pct"/>
            <w:vAlign w:val="center"/>
          </w:tcPr>
          <w:p w14:paraId="2A3166C6" w14:textId="77777777" w:rsidR="00676FD9" w:rsidRDefault="00000000">
            <w:pPr>
              <w:keepNext/>
              <w:jc w:val="center"/>
            </w:pPr>
            <w:r>
              <w:t>3.465,9</w:t>
            </w:r>
          </w:p>
        </w:tc>
      </w:tr>
      <w:tr w:rsidR="00676FD9" w14:paraId="44427E29" w14:textId="77777777">
        <w:trPr>
          <w:trHeight w:val="1214"/>
        </w:trPr>
        <w:tc>
          <w:tcPr>
            <w:tcW w:w="663" w:type="pct"/>
            <w:vAlign w:val="center"/>
          </w:tcPr>
          <w:p w14:paraId="779DB5D8" w14:textId="77777777" w:rsidR="00676FD9" w:rsidRDefault="00000000">
            <w:pPr>
              <w:keepNext/>
              <w:jc w:val="center"/>
            </w:pPr>
            <w:r>
              <w:t>67</w:t>
            </w:r>
          </w:p>
        </w:tc>
        <w:tc>
          <w:tcPr>
            <w:tcW w:w="1729" w:type="pct"/>
            <w:vAlign w:val="center"/>
          </w:tcPr>
          <w:p w14:paraId="78562690" w14:textId="77777777" w:rsidR="00676FD9" w:rsidRDefault="00000000">
            <w:pPr>
              <w:keepNext/>
              <w:jc w:val="center"/>
            </w:pPr>
            <w:r>
              <w:t>Prihodi iz nadležnog proračuna i od HZZO-a na temelju ugovornih obveza</w:t>
            </w:r>
          </w:p>
        </w:tc>
        <w:tc>
          <w:tcPr>
            <w:tcW w:w="976" w:type="pct"/>
            <w:vAlign w:val="center"/>
          </w:tcPr>
          <w:p w14:paraId="1C124F56" w14:textId="77777777" w:rsidR="00676FD9" w:rsidRDefault="00000000">
            <w:pPr>
              <w:keepNext/>
              <w:jc w:val="center"/>
            </w:pPr>
            <w:r>
              <w:t>281.049,68</w:t>
            </w:r>
          </w:p>
        </w:tc>
        <w:tc>
          <w:tcPr>
            <w:tcW w:w="692" w:type="pct"/>
            <w:vAlign w:val="center"/>
          </w:tcPr>
          <w:p w14:paraId="057A54D0" w14:textId="77777777" w:rsidR="00676FD9" w:rsidRDefault="00000000">
            <w:pPr>
              <w:keepNext/>
              <w:jc w:val="center"/>
            </w:pPr>
            <w:r>
              <w:t>363.764,73</w:t>
            </w:r>
          </w:p>
        </w:tc>
        <w:tc>
          <w:tcPr>
            <w:tcW w:w="936" w:type="pct"/>
            <w:vAlign w:val="center"/>
          </w:tcPr>
          <w:p w14:paraId="41145660" w14:textId="77777777" w:rsidR="00676FD9" w:rsidRDefault="00000000">
            <w:pPr>
              <w:keepNext/>
              <w:jc w:val="center"/>
            </w:pPr>
            <w:r>
              <w:t>129,4</w:t>
            </w:r>
          </w:p>
        </w:tc>
      </w:tr>
    </w:tbl>
    <w:p w14:paraId="45EECA34" w14:textId="77777777" w:rsidR="00676FD9" w:rsidRDefault="00000000">
      <w:r>
        <w:t> </w:t>
      </w:r>
    </w:p>
    <w:p w14:paraId="74D00886" w14:textId="77777777" w:rsidR="00676FD9" w:rsidRDefault="00676FD9"/>
    <w:p w14:paraId="6BE40280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6DD5166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0D23A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DB9EF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2EEDF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2D42E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2A32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A0316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0FB0A3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8EB66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FB5F48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2FB9D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B8130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4.974,75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97EF66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7D12D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13,8</w:t>
            </w:r>
          </w:p>
        </w:tc>
      </w:tr>
    </w:tbl>
    <w:p w14:paraId="06730BB8" w14:textId="77777777" w:rsidR="00676FD9" w:rsidRDefault="00676FD9">
      <w:pPr>
        <w:spacing w:after="0"/>
      </w:pPr>
    </w:p>
    <w:p w14:paraId="069539EF" w14:textId="77777777" w:rsidR="00676FD9" w:rsidRDefault="00000000">
      <w:r>
        <w:t>Pomoći iz inozemstva i od subjekata unutar općeg proračuna ostvareni su u iznosu od 687,80 EUR odnosno 13,8% više u odnosu na prethodnu godinu.  Navedeni prihodi se odnose na tekuće pomoći iz državnog proračuna za provođenje programa predškole i tekuće pomoći iz državnog proračuna za provođenje programa za djecu s teškoćama koja su integrirana u redovne odgojno-obrazovne skupine.</w:t>
      </w:r>
    </w:p>
    <w:p w14:paraId="25DC401F" w14:textId="77777777" w:rsidR="00676FD9" w:rsidRDefault="00676FD9"/>
    <w:p w14:paraId="0D94A4E1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75AE757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60762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6048F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9A025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155C6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47ED2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21BBA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7CC222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DCB689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53860D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A8A3A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57CF4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78B16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F9ACA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53,0</w:t>
            </w:r>
          </w:p>
        </w:tc>
      </w:tr>
    </w:tbl>
    <w:p w14:paraId="3EADCBC3" w14:textId="77777777" w:rsidR="00676FD9" w:rsidRDefault="00676FD9">
      <w:pPr>
        <w:spacing w:after="0"/>
      </w:pPr>
    </w:p>
    <w:p w14:paraId="2C6EE0AB" w14:textId="77777777" w:rsidR="00676FD9" w:rsidRDefault="00000000">
      <w:r>
        <w:t xml:space="preserve">Prihodi od imovine ostvareni su iznosu d 1,40 EUR što je 53,0% u odnosu na prethodnu godinu. </w:t>
      </w:r>
      <w:proofErr w:type="spellStart"/>
      <w:r>
        <w:t>Navededni</w:t>
      </w:r>
      <w:proofErr w:type="spellEnd"/>
      <w:r>
        <w:t xml:space="preserve"> prihod se odnosi na </w:t>
      </w:r>
      <w:proofErr w:type="spellStart"/>
      <w:r>
        <w:t>pripis</w:t>
      </w:r>
      <w:proofErr w:type="spellEnd"/>
      <w:r>
        <w:t xml:space="preserve"> kamate banke.</w:t>
      </w:r>
    </w:p>
    <w:p w14:paraId="34ADB805" w14:textId="77777777" w:rsidR="00676FD9" w:rsidRDefault="00676FD9"/>
    <w:p w14:paraId="07795EA1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336BC5B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FEC8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2C18E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82061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F0121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B2B4E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8FA6B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5E707F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CFE6F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09B2F3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3112E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70A0B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73.719,33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293D42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72.432,54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FF115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98,3</w:t>
            </w:r>
          </w:p>
        </w:tc>
      </w:tr>
    </w:tbl>
    <w:p w14:paraId="1CE6BEFF" w14:textId="77777777" w:rsidR="00676FD9" w:rsidRDefault="00676FD9">
      <w:pPr>
        <w:spacing w:after="0"/>
      </w:pPr>
    </w:p>
    <w:p w14:paraId="5B39F176" w14:textId="77777777" w:rsidR="00676FD9" w:rsidRDefault="00000000">
      <w:r>
        <w:t>Prihodi od upravnih i administrativnih pristojbi, pristojbi po posebnim propisima i naknada ostvareni su u iznosu od 72.432,54 EUR odnosno 98,3% u odnosu na prethodnu godinu. Navedeni prihodi se odnose na sufinanciranje cijene usluge, participacije i slično.</w:t>
      </w:r>
    </w:p>
    <w:p w14:paraId="58F117E1" w14:textId="77777777" w:rsidR="00676FD9" w:rsidRDefault="00676FD9"/>
    <w:p w14:paraId="342DEEAD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016D2B6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A37D1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C260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B402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98DD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3FB6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06706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651A57E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68FD7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691641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7972C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F71D7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F0C70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CFB88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3465,9</w:t>
            </w:r>
          </w:p>
        </w:tc>
      </w:tr>
    </w:tbl>
    <w:p w14:paraId="3EAA843E" w14:textId="77777777" w:rsidR="00676FD9" w:rsidRDefault="00676FD9">
      <w:pPr>
        <w:spacing w:after="0"/>
      </w:pPr>
    </w:p>
    <w:p w14:paraId="2EA02421" w14:textId="77777777" w:rsidR="00676FD9" w:rsidRDefault="00000000">
      <w:r>
        <w:t>Prihodi od upravnih i administrativnih pristojbi, pristojbi po posebnim propisima i naknada ostvareni su u iznosu od 2.300,00 EUR odnosno 3465,9% u odnosu na prethodnu godinu. Navedeni prihod se odnosi na kapitalne donacije od trgovačkih društava i ostalih subjekata izvan općeg proračuna.</w:t>
      </w:r>
    </w:p>
    <w:p w14:paraId="5096C527" w14:textId="77777777" w:rsidR="00676FD9" w:rsidRDefault="00676FD9"/>
    <w:p w14:paraId="431647BA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054CD8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A8D40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9B28F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3D76A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BD195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3ECF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67D2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0D0C288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325F2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739A1A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BA24C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BE290E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281.049,68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9EA0E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363.764,73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51179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</w:t>
            </w:r>
          </w:p>
        </w:tc>
      </w:tr>
    </w:tbl>
    <w:p w14:paraId="267A6C4D" w14:textId="77777777" w:rsidR="00676FD9" w:rsidRDefault="00676FD9">
      <w:pPr>
        <w:spacing w:after="0"/>
      </w:pPr>
    </w:p>
    <w:p w14:paraId="4199897C" w14:textId="77777777" w:rsidR="00676FD9" w:rsidRDefault="00000000">
      <w:r>
        <w:t>Prihodi iz nadležnog proračuna i od HZZO-a na temelju ugovornih obveza ostvareni su u iznosu od 363.764,73 EUR odnosno 29,4% više u odnosu na prethodnu godinu. Navedeni prihodi se odnose na prihode od Općine Svetvinčenat za sufinanciranje plaća i drugih materijalnih prava djelatnika.</w:t>
      </w:r>
    </w:p>
    <w:p w14:paraId="3A3C26C6" w14:textId="77777777" w:rsidR="00676FD9" w:rsidRDefault="00000000">
      <w:r>
        <w:t>Od ukupno ostvarenih prihoda, iznos od 329.768,73 EUR doznačen je iz izvora financiranja: opći prihodi i primici proračuna Općine Svetvinčenat (Na temelju Odluke o načinu utvrđivanja plaća za djelatnike u Dječjem vrtiću „Balončić“ koje se financiraju iz proračuna Općine Svetvinčenat i izmjena Kolektivnog ugovora, povećani su koeficijenti i osnovica za obračun plaće djelatnika, te su samim time doznačena veća sredstva za rashode za zaposlene u odnosu na prethodnu godinu), a iznos od 33.996,00 EUR doznačen je iz izvora financiranja: pomoći iz državnog proračuna. Na temelju odredbi Uredbe o kriterijima i mjerilima za utvrđivanje iznosa sredstava za fiskalnu održivost dječjih vrtića i odredbi Odluke o dodjeli sredstava za fiskalnu održivost dječjih vrtića za pedagošku godinu 2024./2025. i odredbi Odluke o dodjeli sredstava za fiskalnu održivost dječjih vrtića za pedagošku godinu 2025./2026. doznačena su sredstva za financiranje fiskalne održivosti dječjeg vrtića za cijelu 2025. godinu)</w:t>
      </w:r>
    </w:p>
    <w:p w14:paraId="30A853C5" w14:textId="77777777" w:rsidR="00676FD9" w:rsidRDefault="00676FD9"/>
    <w:p w14:paraId="44A27E3D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09158B3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1C38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7C673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4F58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C2E61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C467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8D7A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6F94414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99DC3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75F5D7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51531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ADBB4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363.616,87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B7F99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444.695,65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B107B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</w:tbl>
    <w:p w14:paraId="25995813" w14:textId="77777777" w:rsidR="00676FD9" w:rsidRDefault="00676FD9">
      <w:pPr>
        <w:spacing w:after="0"/>
      </w:pPr>
    </w:p>
    <w:p w14:paraId="06D4A08E" w14:textId="77777777" w:rsidR="00676FD9" w:rsidRDefault="00000000">
      <w:r>
        <w:t>Rashodi poslovanja ostvareni su u iznosu od 444.695,65 EUR odnosno 22,3% više u odnosu na prethodnu godinu. Najveće odstupanje je u rashodima za plaće, koji su ostvareni 132,1% u odnosu na prethodnu godinu.</w:t>
      </w:r>
    </w:p>
    <w:p w14:paraId="26201E49" w14:textId="77777777" w:rsidR="00676FD9" w:rsidRDefault="00000000">
      <w:r>
        <w:t>U tablici koja slijedi daje se pregled izvršenih rashoda poslovanja za razdoblje I-XII 2025. godine.</w:t>
      </w:r>
    </w:p>
    <w:p w14:paraId="3936A0ED" w14:textId="77777777" w:rsidR="00676FD9" w:rsidRDefault="00000000">
      <w:r>
        <w:t> </w:t>
      </w:r>
    </w:p>
    <w:tbl>
      <w:tblPr>
        <w:tblStyle w:val="Reetkatablice"/>
        <w:tblW w:w="4805" w:type="pct"/>
        <w:tblLook w:val="04A0" w:firstRow="1" w:lastRow="0" w:firstColumn="1" w:lastColumn="0" w:noHBand="0" w:noVBand="1"/>
      </w:tblPr>
      <w:tblGrid>
        <w:gridCol w:w="1320"/>
        <w:gridCol w:w="2119"/>
        <w:gridCol w:w="2020"/>
        <w:gridCol w:w="1649"/>
        <w:gridCol w:w="1601"/>
      </w:tblGrid>
      <w:tr w:rsidR="00676FD9" w14:paraId="19DAB19E" w14:textId="77777777">
        <w:trPr>
          <w:trHeight w:val="542"/>
        </w:trPr>
        <w:tc>
          <w:tcPr>
            <w:tcW w:w="757" w:type="pct"/>
            <w:vAlign w:val="center"/>
          </w:tcPr>
          <w:p w14:paraId="7FC865BB" w14:textId="77777777" w:rsidR="00676FD9" w:rsidRDefault="00000000">
            <w:pPr>
              <w:keepNext/>
              <w:jc w:val="center"/>
            </w:pPr>
            <w:r>
              <w:t xml:space="preserve">Račun iz </w:t>
            </w:r>
            <w:proofErr w:type="spellStart"/>
            <w:r>
              <w:t>Rač.plana</w:t>
            </w:r>
            <w:proofErr w:type="spellEnd"/>
          </w:p>
        </w:tc>
        <w:tc>
          <w:tcPr>
            <w:tcW w:w="1216" w:type="pct"/>
            <w:vAlign w:val="center"/>
          </w:tcPr>
          <w:p w14:paraId="45F3BBA2" w14:textId="77777777" w:rsidR="00676FD9" w:rsidRDefault="00000000">
            <w:pPr>
              <w:keepNext/>
              <w:jc w:val="center"/>
            </w:pPr>
            <w:r>
              <w:t>Opis stavke</w:t>
            </w:r>
          </w:p>
        </w:tc>
        <w:tc>
          <w:tcPr>
            <w:tcW w:w="1159" w:type="pct"/>
            <w:vAlign w:val="center"/>
          </w:tcPr>
          <w:p w14:paraId="327203B4" w14:textId="77777777" w:rsidR="00676FD9" w:rsidRDefault="00000000">
            <w:pPr>
              <w:keepNext/>
              <w:jc w:val="center"/>
            </w:pPr>
            <w:r>
              <w:t>2024.</w:t>
            </w:r>
          </w:p>
        </w:tc>
        <w:tc>
          <w:tcPr>
            <w:tcW w:w="947" w:type="pct"/>
            <w:vAlign w:val="center"/>
          </w:tcPr>
          <w:p w14:paraId="5B04DFAA" w14:textId="77777777" w:rsidR="00676FD9" w:rsidRDefault="00000000">
            <w:pPr>
              <w:keepNext/>
              <w:jc w:val="center"/>
            </w:pPr>
            <w:r>
              <w:t>2025.</w:t>
            </w:r>
          </w:p>
        </w:tc>
        <w:tc>
          <w:tcPr>
            <w:tcW w:w="919" w:type="pct"/>
            <w:vAlign w:val="center"/>
          </w:tcPr>
          <w:p w14:paraId="65055D57" w14:textId="77777777" w:rsidR="00676FD9" w:rsidRDefault="00000000">
            <w:pPr>
              <w:keepNext/>
              <w:jc w:val="center"/>
            </w:pPr>
            <w:r>
              <w:t>Indeks</w:t>
            </w:r>
          </w:p>
        </w:tc>
      </w:tr>
      <w:tr w:rsidR="00676FD9" w14:paraId="00B4EA85" w14:textId="77777777">
        <w:trPr>
          <w:trHeight w:val="542"/>
        </w:trPr>
        <w:tc>
          <w:tcPr>
            <w:tcW w:w="757" w:type="pct"/>
            <w:vAlign w:val="center"/>
          </w:tcPr>
          <w:p w14:paraId="75DCBA29" w14:textId="77777777" w:rsidR="00676FD9" w:rsidRDefault="00000000">
            <w:pPr>
              <w:keepNext/>
              <w:jc w:val="center"/>
            </w:pPr>
            <w:r>
              <w:t>31</w:t>
            </w:r>
          </w:p>
        </w:tc>
        <w:tc>
          <w:tcPr>
            <w:tcW w:w="1216" w:type="pct"/>
            <w:vAlign w:val="center"/>
          </w:tcPr>
          <w:p w14:paraId="2FDEA6D7" w14:textId="77777777" w:rsidR="00676FD9" w:rsidRDefault="00000000">
            <w:pPr>
              <w:keepNext/>
              <w:jc w:val="center"/>
            </w:pPr>
            <w:r>
              <w:t>Rashodi za zaposlene</w:t>
            </w:r>
          </w:p>
        </w:tc>
        <w:tc>
          <w:tcPr>
            <w:tcW w:w="1159" w:type="pct"/>
            <w:vAlign w:val="center"/>
          </w:tcPr>
          <w:p w14:paraId="0BB347F9" w14:textId="77777777" w:rsidR="00676FD9" w:rsidRDefault="00000000">
            <w:pPr>
              <w:keepNext/>
              <w:jc w:val="center"/>
            </w:pPr>
            <w:r>
              <w:t>266.108,07</w:t>
            </w:r>
          </w:p>
        </w:tc>
        <w:tc>
          <w:tcPr>
            <w:tcW w:w="947" w:type="pct"/>
            <w:vAlign w:val="center"/>
          </w:tcPr>
          <w:p w14:paraId="77DCC1F8" w14:textId="77777777" w:rsidR="00676FD9" w:rsidRDefault="00000000">
            <w:pPr>
              <w:keepNext/>
              <w:jc w:val="center"/>
            </w:pPr>
            <w:r>
              <w:t>346.951,76</w:t>
            </w:r>
          </w:p>
        </w:tc>
        <w:tc>
          <w:tcPr>
            <w:tcW w:w="919" w:type="pct"/>
            <w:vAlign w:val="center"/>
          </w:tcPr>
          <w:p w14:paraId="6B0A2EDE" w14:textId="77777777" w:rsidR="00676FD9" w:rsidRDefault="00000000">
            <w:pPr>
              <w:keepNext/>
              <w:jc w:val="center"/>
            </w:pPr>
            <w:r>
              <w:t>130,4</w:t>
            </w:r>
          </w:p>
        </w:tc>
      </w:tr>
      <w:tr w:rsidR="00676FD9" w14:paraId="45E937CB" w14:textId="77777777">
        <w:trPr>
          <w:trHeight w:val="542"/>
        </w:trPr>
        <w:tc>
          <w:tcPr>
            <w:tcW w:w="757" w:type="pct"/>
            <w:vAlign w:val="center"/>
          </w:tcPr>
          <w:p w14:paraId="3795AB23" w14:textId="77777777" w:rsidR="00676FD9" w:rsidRDefault="00000000">
            <w:pPr>
              <w:keepNext/>
              <w:jc w:val="center"/>
            </w:pPr>
            <w:r>
              <w:t>32</w:t>
            </w:r>
          </w:p>
        </w:tc>
        <w:tc>
          <w:tcPr>
            <w:tcW w:w="1216" w:type="pct"/>
            <w:vAlign w:val="center"/>
          </w:tcPr>
          <w:p w14:paraId="03D327C0" w14:textId="77777777" w:rsidR="00676FD9" w:rsidRDefault="00000000">
            <w:pPr>
              <w:keepNext/>
              <w:jc w:val="center"/>
            </w:pPr>
            <w:r>
              <w:t>Materijalni rashodi</w:t>
            </w:r>
          </w:p>
        </w:tc>
        <w:tc>
          <w:tcPr>
            <w:tcW w:w="1159" w:type="pct"/>
            <w:vAlign w:val="center"/>
          </w:tcPr>
          <w:p w14:paraId="56A89B02" w14:textId="77777777" w:rsidR="00676FD9" w:rsidRDefault="00000000">
            <w:pPr>
              <w:keepNext/>
              <w:jc w:val="center"/>
            </w:pPr>
            <w:r>
              <w:t>96.397,71</w:t>
            </w:r>
          </w:p>
        </w:tc>
        <w:tc>
          <w:tcPr>
            <w:tcW w:w="947" w:type="pct"/>
            <w:vAlign w:val="center"/>
          </w:tcPr>
          <w:p w14:paraId="1D4F86A7" w14:textId="77777777" w:rsidR="00676FD9" w:rsidRDefault="00000000">
            <w:pPr>
              <w:keepNext/>
              <w:jc w:val="center"/>
            </w:pPr>
            <w:r>
              <w:t>96.945,29</w:t>
            </w:r>
          </w:p>
        </w:tc>
        <w:tc>
          <w:tcPr>
            <w:tcW w:w="919" w:type="pct"/>
            <w:vAlign w:val="center"/>
          </w:tcPr>
          <w:p w14:paraId="0EED6FDD" w14:textId="77777777" w:rsidR="00676FD9" w:rsidRDefault="00000000">
            <w:pPr>
              <w:keepNext/>
              <w:jc w:val="center"/>
            </w:pPr>
            <w:r>
              <w:t>100,6</w:t>
            </w:r>
          </w:p>
        </w:tc>
      </w:tr>
      <w:tr w:rsidR="00676FD9" w14:paraId="0B82E5BF" w14:textId="77777777">
        <w:trPr>
          <w:trHeight w:val="542"/>
        </w:trPr>
        <w:tc>
          <w:tcPr>
            <w:tcW w:w="757" w:type="pct"/>
            <w:vAlign w:val="center"/>
          </w:tcPr>
          <w:p w14:paraId="1F0E3DAA" w14:textId="77777777" w:rsidR="00676FD9" w:rsidRDefault="00000000">
            <w:pPr>
              <w:keepNext/>
              <w:jc w:val="center"/>
            </w:pPr>
            <w:r>
              <w:t>34</w:t>
            </w:r>
          </w:p>
        </w:tc>
        <w:tc>
          <w:tcPr>
            <w:tcW w:w="1216" w:type="pct"/>
            <w:vAlign w:val="center"/>
          </w:tcPr>
          <w:p w14:paraId="00607136" w14:textId="77777777" w:rsidR="00676FD9" w:rsidRDefault="00000000">
            <w:pPr>
              <w:keepNext/>
              <w:jc w:val="center"/>
            </w:pPr>
            <w:r>
              <w:t>Financijski rashodi</w:t>
            </w:r>
          </w:p>
        </w:tc>
        <w:tc>
          <w:tcPr>
            <w:tcW w:w="1159" w:type="pct"/>
            <w:vAlign w:val="center"/>
          </w:tcPr>
          <w:p w14:paraId="0EE3DEEA" w14:textId="77777777" w:rsidR="00676FD9" w:rsidRDefault="00000000">
            <w:pPr>
              <w:keepNext/>
              <w:jc w:val="center"/>
            </w:pPr>
            <w:r>
              <w:t>1.111,09</w:t>
            </w:r>
          </w:p>
        </w:tc>
        <w:tc>
          <w:tcPr>
            <w:tcW w:w="947" w:type="pct"/>
            <w:vAlign w:val="center"/>
          </w:tcPr>
          <w:p w14:paraId="56EB769F" w14:textId="77777777" w:rsidR="00676FD9" w:rsidRDefault="00000000">
            <w:pPr>
              <w:keepNext/>
              <w:jc w:val="center"/>
            </w:pPr>
            <w:r>
              <w:t>798,61</w:t>
            </w:r>
          </w:p>
        </w:tc>
        <w:tc>
          <w:tcPr>
            <w:tcW w:w="919" w:type="pct"/>
            <w:vAlign w:val="center"/>
          </w:tcPr>
          <w:p w14:paraId="2232A223" w14:textId="77777777" w:rsidR="00676FD9" w:rsidRDefault="00000000">
            <w:pPr>
              <w:keepNext/>
              <w:jc w:val="center"/>
            </w:pPr>
            <w:r>
              <w:t>71,9</w:t>
            </w:r>
          </w:p>
        </w:tc>
      </w:tr>
    </w:tbl>
    <w:p w14:paraId="37B47960" w14:textId="77777777" w:rsidR="00676FD9" w:rsidRDefault="00000000">
      <w:r>
        <w:t> </w:t>
      </w:r>
    </w:p>
    <w:p w14:paraId="21A11911" w14:textId="77777777" w:rsidR="00676FD9" w:rsidRDefault="00676FD9"/>
    <w:p w14:paraId="3C4B55B3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38991D0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39A8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C197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9BDB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F6335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DA04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B7EB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66F31FF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B7A9F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9C00E0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A666B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97F6EF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266.108,07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E8DD0D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346.951,75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53EB4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130,4</w:t>
            </w:r>
          </w:p>
        </w:tc>
      </w:tr>
    </w:tbl>
    <w:p w14:paraId="181EE0EA" w14:textId="77777777" w:rsidR="00676FD9" w:rsidRDefault="00676FD9">
      <w:pPr>
        <w:spacing w:after="0"/>
      </w:pPr>
    </w:p>
    <w:p w14:paraId="73A73DBB" w14:textId="77777777" w:rsidR="00676FD9" w:rsidRDefault="00000000">
      <w:r>
        <w:t>Rashodi za zaposlene ostvareni su u iznosu od 346.951,75 EUR odnosno 130,4% u odnosu na prethodnu godinu. Rashodi za zaposlene obuhvaćaju plaće (bruto), doprinose na plaće i ostale rashode za zaposlene u Dječjem vrtiću. Povećanje ove skupine rashoda proizlazi iz povećanja koeficijenata i osnovice za obračun plaće djelatnika.</w:t>
      </w:r>
    </w:p>
    <w:tbl>
      <w:tblPr>
        <w:tblStyle w:val="Reetkatablice"/>
        <w:tblW w:w="3450" w:type="pct"/>
        <w:tblLook w:val="04A0" w:firstRow="1" w:lastRow="0" w:firstColumn="1" w:lastColumn="0" w:noHBand="0" w:noVBand="1"/>
      </w:tblPr>
      <w:tblGrid>
        <w:gridCol w:w="1089"/>
        <w:gridCol w:w="1716"/>
        <w:gridCol w:w="1296"/>
        <w:gridCol w:w="1296"/>
        <w:gridCol w:w="856"/>
      </w:tblGrid>
      <w:tr w:rsidR="00676FD9" w14:paraId="197473FB" w14:textId="77777777">
        <w:trPr>
          <w:trHeight w:val="542"/>
        </w:trPr>
        <w:tc>
          <w:tcPr>
            <w:tcW w:w="1064" w:type="pct"/>
            <w:vAlign w:val="center"/>
          </w:tcPr>
          <w:p w14:paraId="71F82F22" w14:textId="77777777" w:rsidR="00676FD9" w:rsidRDefault="00000000">
            <w:pPr>
              <w:keepNext/>
              <w:jc w:val="center"/>
            </w:pPr>
            <w:r>
              <w:lastRenderedPageBreak/>
              <w:t xml:space="preserve">Račun iz </w:t>
            </w:r>
            <w:proofErr w:type="spellStart"/>
            <w:r>
              <w:t>rač.plana</w:t>
            </w:r>
            <w:proofErr w:type="spellEnd"/>
          </w:p>
        </w:tc>
        <w:tc>
          <w:tcPr>
            <w:tcW w:w="1659" w:type="pct"/>
            <w:vAlign w:val="center"/>
          </w:tcPr>
          <w:p w14:paraId="59352376" w14:textId="77777777" w:rsidR="00676FD9" w:rsidRDefault="00000000">
            <w:pPr>
              <w:keepNext/>
              <w:jc w:val="center"/>
            </w:pPr>
            <w:r>
              <w:t>Opis stavke</w:t>
            </w:r>
          </w:p>
        </w:tc>
        <w:tc>
          <w:tcPr>
            <w:tcW w:w="946" w:type="pct"/>
            <w:vAlign w:val="center"/>
          </w:tcPr>
          <w:p w14:paraId="669E464C" w14:textId="77777777" w:rsidR="00676FD9" w:rsidRDefault="00000000">
            <w:pPr>
              <w:keepNext/>
              <w:jc w:val="center"/>
            </w:pPr>
            <w:r>
              <w:t>2024.</w:t>
            </w:r>
          </w:p>
        </w:tc>
        <w:tc>
          <w:tcPr>
            <w:tcW w:w="1114" w:type="pct"/>
            <w:vAlign w:val="center"/>
          </w:tcPr>
          <w:p w14:paraId="60FBC90B" w14:textId="77777777" w:rsidR="00676FD9" w:rsidRDefault="00000000">
            <w:pPr>
              <w:keepNext/>
              <w:jc w:val="center"/>
            </w:pPr>
            <w:r>
              <w:t>2025.</w:t>
            </w:r>
          </w:p>
        </w:tc>
        <w:tc>
          <w:tcPr>
            <w:tcW w:w="215" w:type="pct"/>
            <w:vAlign w:val="center"/>
          </w:tcPr>
          <w:p w14:paraId="365C995E" w14:textId="77777777" w:rsidR="00676FD9" w:rsidRDefault="00000000">
            <w:pPr>
              <w:keepNext/>
              <w:jc w:val="center"/>
            </w:pPr>
            <w:r>
              <w:t>Indeks</w:t>
            </w:r>
          </w:p>
        </w:tc>
      </w:tr>
      <w:tr w:rsidR="00676FD9" w14:paraId="644C31E4" w14:textId="77777777">
        <w:trPr>
          <w:trHeight w:val="542"/>
        </w:trPr>
        <w:tc>
          <w:tcPr>
            <w:tcW w:w="1064" w:type="pct"/>
            <w:vAlign w:val="center"/>
          </w:tcPr>
          <w:p w14:paraId="23922CF1" w14:textId="77777777" w:rsidR="00676FD9" w:rsidRDefault="00000000">
            <w:pPr>
              <w:keepNext/>
              <w:jc w:val="center"/>
            </w:pPr>
            <w:r>
              <w:t>311</w:t>
            </w:r>
          </w:p>
        </w:tc>
        <w:tc>
          <w:tcPr>
            <w:tcW w:w="1659" w:type="pct"/>
            <w:vAlign w:val="center"/>
          </w:tcPr>
          <w:p w14:paraId="39D2DB57" w14:textId="77777777" w:rsidR="00676FD9" w:rsidRDefault="00000000">
            <w:pPr>
              <w:keepNext/>
              <w:jc w:val="center"/>
            </w:pPr>
            <w:r>
              <w:t>Plaće bruto</w:t>
            </w:r>
          </w:p>
        </w:tc>
        <w:tc>
          <w:tcPr>
            <w:tcW w:w="946" w:type="pct"/>
            <w:vAlign w:val="center"/>
          </w:tcPr>
          <w:p w14:paraId="69355E83" w14:textId="77777777" w:rsidR="00676FD9" w:rsidRDefault="00000000">
            <w:pPr>
              <w:keepNext/>
              <w:jc w:val="center"/>
            </w:pPr>
            <w:r>
              <w:t>209.139,22</w:t>
            </w:r>
          </w:p>
        </w:tc>
        <w:tc>
          <w:tcPr>
            <w:tcW w:w="1114" w:type="pct"/>
            <w:vAlign w:val="center"/>
          </w:tcPr>
          <w:p w14:paraId="3F77B37D" w14:textId="77777777" w:rsidR="00676FD9" w:rsidRDefault="00000000">
            <w:pPr>
              <w:keepNext/>
              <w:jc w:val="center"/>
            </w:pPr>
            <w:r>
              <w:t>276.276,84</w:t>
            </w:r>
          </w:p>
        </w:tc>
        <w:tc>
          <w:tcPr>
            <w:tcW w:w="215" w:type="pct"/>
            <w:vAlign w:val="center"/>
          </w:tcPr>
          <w:p w14:paraId="6E2D8B76" w14:textId="77777777" w:rsidR="00676FD9" w:rsidRDefault="00000000">
            <w:pPr>
              <w:keepNext/>
              <w:jc w:val="center"/>
            </w:pPr>
            <w:r>
              <w:t>132,1</w:t>
            </w:r>
          </w:p>
        </w:tc>
      </w:tr>
      <w:tr w:rsidR="00676FD9" w14:paraId="39FAF5C5" w14:textId="77777777">
        <w:trPr>
          <w:trHeight w:val="878"/>
        </w:trPr>
        <w:tc>
          <w:tcPr>
            <w:tcW w:w="1064" w:type="pct"/>
            <w:vAlign w:val="center"/>
          </w:tcPr>
          <w:p w14:paraId="5A22D3C4" w14:textId="77777777" w:rsidR="00676FD9" w:rsidRDefault="00000000">
            <w:pPr>
              <w:keepNext/>
              <w:jc w:val="center"/>
            </w:pPr>
            <w:r>
              <w:t>312</w:t>
            </w:r>
          </w:p>
        </w:tc>
        <w:tc>
          <w:tcPr>
            <w:tcW w:w="1659" w:type="pct"/>
            <w:vAlign w:val="center"/>
          </w:tcPr>
          <w:p w14:paraId="0522DB2D" w14:textId="77777777" w:rsidR="00676FD9" w:rsidRDefault="00000000">
            <w:pPr>
              <w:keepNext/>
              <w:jc w:val="center"/>
            </w:pPr>
            <w:r>
              <w:t>Ostali rashodi za zaposlene</w:t>
            </w:r>
          </w:p>
        </w:tc>
        <w:tc>
          <w:tcPr>
            <w:tcW w:w="946" w:type="pct"/>
            <w:vAlign w:val="center"/>
          </w:tcPr>
          <w:p w14:paraId="253F0013" w14:textId="77777777" w:rsidR="00676FD9" w:rsidRDefault="00000000">
            <w:pPr>
              <w:keepNext/>
              <w:jc w:val="center"/>
            </w:pPr>
            <w:r>
              <w:t>22.460,86</w:t>
            </w:r>
          </w:p>
        </w:tc>
        <w:tc>
          <w:tcPr>
            <w:tcW w:w="1114" w:type="pct"/>
            <w:vAlign w:val="center"/>
          </w:tcPr>
          <w:p w14:paraId="7CF2B19D" w14:textId="77777777" w:rsidR="00676FD9" w:rsidRDefault="00000000">
            <w:pPr>
              <w:keepNext/>
              <w:jc w:val="center"/>
            </w:pPr>
            <w:r>
              <w:t>25.089,21</w:t>
            </w:r>
          </w:p>
        </w:tc>
        <w:tc>
          <w:tcPr>
            <w:tcW w:w="215" w:type="pct"/>
            <w:vAlign w:val="center"/>
          </w:tcPr>
          <w:p w14:paraId="0594D6A4" w14:textId="77777777" w:rsidR="00676FD9" w:rsidRDefault="00000000">
            <w:pPr>
              <w:keepNext/>
              <w:jc w:val="center"/>
            </w:pPr>
            <w:r>
              <w:t>111,7</w:t>
            </w:r>
          </w:p>
        </w:tc>
      </w:tr>
      <w:tr w:rsidR="00676FD9" w14:paraId="007B174F" w14:textId="77777777">
        <w:trPr>
          <w:trHeight w:val="542"/>
        </w:trPr>
        <w:tc>
          <w:tcPr>
            <w:tcW w:w="1064" w:type="pct"/>
            <w:vAlign w:val="center"/>
          </w:tcPr>
          <w:p w14:paraId="6BB35623" w14:textId="77777777" w:rsidR="00676FD9" w:rsidRDefault="00000000">
            <w:pPr>
              <w:keepNext/>
              <w:jc w:val="center"/>
            </w:pPr>
            <w:r>
              <w:t>313</w:t>
            </w:r>
          </w:p>
        </w:tc>
        <w:tc>
          <w:tcPr>
            <w:tcW w:w="1659" w:type="pct"/>
            <w:vAlign w:val="center"/>
          </w:tcPr>
          <w:p w14:paraId="59FC792B" w14:textId="77777777" w:rsidR="00676FD9" w:rsidRDefault="00000000">
            <w:pPr>
              <w:keepNext/>
              <w:jc w:val="center"/>
            </w:pPr>
            <w:r>
              <w:t>Doprinosi na plaće</w:t>
            </w:r>
          </w:p>
        </w:tc>
        <w:tc>
          <w:tcPr>
            <w:tcW w:w="946" w:type="pct"/>
            <w:vAlign w:val="center"/>
          </w:tcPr>
          <w:p w14:paraId="45C15B96" w14:textId="77777777" w:rsidR="00676FD9" w:rsidRDefault="00000000">
            <w:pPr>
              <w:keepNext/>
              <w:jc w:val="center"/>
            </w:pPr>
            <w:r>
              <w:t>34.507,99</w:t>
            </w:r>
          </w:p>
        </w:tc>
        <w:tc>
          <w:tcPr>
            <w:tcW w:w="1114" w:type="pct"/>
            <w:vAlign w:val="center"/>
          </w:tcPr>
          <w:p w14:paraId="25E351BA" w14:textId="77777777" w:rsidR="00676FD9" w:rsidRDefault="00000000">
            <w:pPr>
              <w:keepNext/>
              <w:jc w:val="center"/>
            </w:pPr>
            <w:r>
              <w:t>45.585,70</w:t>
            </w:r>
          </w:p>
        </w:tc>
        <w:tc>
          <w:tcPr>
            <w:tcW w:w="215" w:type="pct"/>
            <w:vAlign w:val="center"/>
          </w:tcPr>
          <w:p w14:paraId="1CC303F2" w14:textId="77777777" w:rsidR="00676FD9" w:rsidRDefault="00000000">
            <w:pPr>
              <w:keepNext/>
              <w:jc w:val="center"/>
            </w:pPr>
            <w:r>
              <w:t>132,1</w:t>
            </w:r>
          </w:p>
        </w:tc>
      </w:tr>
    </w:tbl>
    <w:p w14:paraId="0D39F49D" w14:textId="77777777" w:rsidR="00676FD9" w:rsidRDefault="00000000">
      <w:r>
        <w:t> </w:t>
      </w:r>
    </w:p>
    <w:p w14:paraId="0369E662" w14:textId="77777777" w:rsidR="00676FD9" w:rsidRDefault="00676FD9"/>
    <w:p w14:paraId="10B7F730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69DDD03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2A365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34FAB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419A1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80C6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0C03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B782A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25257A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938C6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53F4A0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C58CB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74633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96.397,71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5D0671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96.945,29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CF6D0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100,6</w:t>
            </w:r>
          </w:p>
        </w:tc>
      </w:tr>
    </w:tbl>
    <w:p w14:paraId="29DE5013" w14:textId="77777777" w:rsidR="00676FD9" w:rsidRDefault="00676FD9">
      <w:pPr>
        <w:spacing w:after="0"/>
      </w:pPr>
    </w:p>
    <w:p w14:paraId="50B2BDB8" w14:textId="77777777" w:rsidR="00676FD9" w:rsidRDefault="00000000">
      <w:r>
        <w:t>Materijalni rashodi su ostvareni u iznosu od 96.945,29 EUR odnosno 100,6% u odnosu na prethodnu godinu.</w:t>
      </w:r>
    </w:p>
    <w:p w14:paraId="74252D5B" w14:textId="77777777" w:rsidR="00676FD9" w:rsidRDefault="00000000">
      <w:r>
        <w:t> </w:t>
      </w:r>
    </w:p>
    <w:tbl>
      <w:tblPr>
        <w:tblStyle w:val="Reetkatablice"/>
        <w:tblW w:w="3523" w:type="pct"/>
        <w:tblLook w:val="04A0" w:firstRow="1" w:lastRow="0" w:firstColumn="1" w:lastColumn="0" w:noHBand="0" w:noVBand="1"/>
      </w:tblPr>
      <w:tblGrid>
        <w:gridCol w:w="1459"/>
        <w:gridCol w:w="1718"/>
        <w:gridCol w:w="1176"/>
        <w:gridCol w:w="1176"/>
        <w:gridCol w:w="856"/>
      </w:tblGrid>
      <w:tr w:rsidR="00676FD9" w14:paraId="57DA35E1" w14:textId="77777777">
        <w:trPr>
          <w:trHeight w:val="542"/>
        </w:trPr>
        <w:tc>
          <w:tcPr>
            <w:tcW w:w="1199" w:type="pct"/>
            <w:vAlign w:val="center"/>
          </w:tcPr>
          <w:p w14:paraId="514A0361" w14:textId="77777777" w:rsidR="00676FD9" w:rsidRDefault="00000000">
            <w:pPr>
              <w:keepNext/>
              <w:jc w:val="center"/>
            </w:pPr>
            <w:r>
              <w:t xml:space="preserve">Račun iz </w:t>
            </w:r>
            <w:proofErr w:type="spellStart"/>
            <w:r>
              <w:t>rač.plana</w:t>
            </w:r>
            <w:proofErr w:type="spellEnd"/>
          </w:p>
        </w:tc>
        <w:tc>
          <w:tcPr>
            <w:tcW w:w="1401" w:type="pct"/>
            <w:vAlign w:val="center"/>
          </w:tcPr>
          <w:p w14:paraId="1F707BE1" w14:textId="77777777" w:rsidR="00676FD9" w:rsidRDefault="00000000">
            <w:pPr>
              <w:keepNext/>
              <w:jc w:val="center"/>
            </w:pPr>
            <w:r>
              <w:t>Opis stavke</w:t>
            </w:r>
          </w:p>
        </w:tc>
        <w:tc>
          <w:tcPr>
            <w:tcW w:w="965" w:type="pct"/>
            <w:vAlign w:val="center"/>
          </w:tcPr>
          <w:p w14:paraId="394D1FD6" w14:textId="77777777" w:rsidR="00676FD9" w:rsidRDefault="00000000">
            <w:pPr>
              <w:keepNext/>
              <w:jc w:val="center"/>
            </w:pPr>
            <w:r>
              <w:t>2024.</w:t>
            </w:r>
          </w:p>
        </w:tc>
        <w:tc>
          <w:tcPr>
            <w:tcW w:w="971" w:type="pct"/>
            <w:vAlign w:val="center"/>
          </w:tcPr>
          <w:p w14:paraId="5ECB17F4" w14:textId="77777777" w:rsidR="00676FD9" w:rsidRDefault="00000000">
            <w:pPr>
              <w:keepNext/>
              <w:jc w:val="center"/>
            </w:pPr>
            <w:r>
              <w:t>2025.</w:t>
            </w:r>
          </w:p>
        </w:tc>
        <w:tc>
          <w:tcPr>
            <w:tcW w:w="462" w:type="pct"/>
            <w:vAlign w:val="center"/>
          </w:tcPr>
          <w:p w14:paraId="3062C2DC" w14:textId="77777777" w:rsidR="00676FD9" w:rsidRDefault="00000000">
            <w:pPr>
              <w:keepNext/>
              <w:jc w:val="center"/>
            </w:pPr>
            <w:r>
              <w:t>Indeks</w:t>
            </w:r>
          </w:p>
        </w:tc>
      </w:tr>
      <w:tr w:rsidR="00676FD9" w14:paraId="7A59910E" w14:textId="77777777">
        <w:trPr>
          <w:trHeight w:val="542"/>
        </w:trPr>
        <w:tc>
          <w:tcPr>
            <w:tcW w:w="1199" w:type="pct"/>
            <w:vAlign w:val="center"/>
          </w:tcPr>
          <w:p w14:paraId="6951EF46" w14:textId="77777777" w:rsidR="00676FD9" w:rsidRDefault="00000000">
            <w:pPr>
              <w:keepNext/>
              <w:jc w:val="center"/>
            </w:pPr>
            <w:r>
              <w:t>321</w:t>
            </w:r>
          </w:p>
        </w:tc>
        <w:tc>
          <w:tcPr>
            <w:tcW w:w="1401" w:type="pct"/>
            <w:vAlign w:val="center"/>
          </w:tcPr>
          <w:p w14:paraId="075537E9" w14:textId="77777777" w:rsidR="00676FD9" w:rsidRDefault="00000000">
            <w:pPr>
              <w:keepNext/>
              <w:jc w:val="center"/>
            </w:pPr>
            <w:r>
              <w:t>Naknade troškova zaposlenima</w:t>
            </w:r>
          </w:p>
        </w:tc>
        <w:tc>
          <w:tcPr>
            <w:tcW w:w="965" w:type="pct"/>
            <w:vAlign w:val="center"/>
          </w:tcPr>
          <w:p w14:paraId="6B4E9333" w14:textId="77777777" w:rsidR="00676FD9" w:rsidRDefault="00000000">
            <w:pPr>
              <w:keepNext/>
              <w:jc w:val="center"/>
            </w:pPr>
            <w:r>
              <w:t>21.941,49</w:t>
            </w:r>
          </w:p>
        </w:tc>
        <w:tc>
          <w:tcPr>
            <w:tcW w:w="971" w:type="pct"/>
            <w:vAlign w:val="center"/>
          </w:tcPr>
          <w:p w14:paraId="4071F627" w14:textId="77777777" w:rsidR="00676FD9" w:rsidRDefault="00000000">
            <w:pPr>
              <w:keepNext/>
              <w:jc w:val="center"/>
            </w:pPr>
            <w:r>
              <w:t>22.144,24</w:t>
            </w:r>
          </w:p>
        </w:tc>
        <w:tc>
          <w:tcPr>
            <w:tcW w:w="462" w:type="pct"/>
            <w:vAlign w:val="center"/>
          </w:tcPr>
          <w:p w14:paraId="6EFCFBEC" w14:textId="77777777" w:rsidR="00676FD9" w:rsidRDefault="00000000">
            <w:pPr>
              <w:keepNext/>
              <w:jc w:val="center"/>
            </w:pPr>
            <w:r>
              <w:t>100,9</w:t>
            </w:r>
          </w:p>
        </w:tc>
      </w:tr>
      <w:tr w:rsidR="00676FD9" w14:paraId="62A7715C" w14:textId="77777777">
        <w:trPr>
          <w:trHeight w:val="542"/>
        </w:trPr>
        <w:tc>
          <w:tcPr>
            <w:tcW w:w="1199" w:type="pct"/>
            <w:vAlign w:val="center"/>
          </w:tcPr>
          <w:p w14:paraId="591EBDE5" w14:textId="77777777" w:rsidR="00676FD9" w:rsidRDefault="00000000">
            <w:pPr>
              <w:keepNext/>
              <w:jc w:val="center"/>
            </w:pPr>
            <w:r>
              <w:t>322</w:t>
            </w:r>
          </w:p>
        </w:tc>
        <w:tc>
          <w:tcPr>
            <w:tcW w:w="1401" w:type="pct"/>
            <w:vAlign w:val="center"/>
          </w:tcPr>
          <w:p w14:paraId="0B67E51E" w14:textId="77777777" w:rsidR="00676FD9" w:rsidRDefault="00000000">
            <w:pPr>
              <w:keepNext/>
              <w:jc w:val="center"/>
            </w:pPr>
            <w:r>
              <w:t>Rashodi za materijal i energiju</w:t>
            </w:r>
          </w:p>
        </w:tc>
        <w:tc>
          <w:tcPr>
            <w:tcW w:w="965" w:type="pct"/>
            <w:vAlign w:val="center"/>
          </w:tcPr>
          <w:p w14:paraId="2BCD6B18" w14:textId="77777777" w:rsidR="00676FD9" w:rsidRDefault="00000000">
            <w:pPr>
              <w:keepNext/>
              <w:jc w:val="center"/>
            </w:pPr>
            <w:r>
              <w:t>47.625,97</w:t>
            </w:r>
          </w:p>
        </w:tc>
        <w:tc>
          <w:tcPr>
            <w:tcW w:w="971" w:type="pct"/>
            <w:vAlign w:val="center"/>
          </w:tcPr>
          <w:p w14:paraId="02923E3B" w14:textId="77777777" w:rsidR="00676FD9" w:rsidRDefault="00000000">
            <w:pPr>
              <w:keepNext/>
              <w:jc w:val="center"/>
            </w:pPr>
            <w:r>
              <w:t>44.479,12</w:t>
            </w:r>
          </w:p>
        </w:tc>
        <w:tc>
          <w:tcPr>
            <w:tcW w:w="462" w:type="pct"/>
            <w:vAlign w:val="center"/>
          </w:tcPr>
          <w:p w14:paraId="3F6A0DFD" w14:textId="77777777" w:rsidR="00676FD9" w:rsidRDefault="00000000">
            <w:pPr>
              <w:keepNext/>
              <w:jc w:val="center"/>
            </w:pPr>
            <w:r>
              <w:t>93,4</w:t>
            </w:r>
          </w:p>
        </w:tc>
      </w:tr>
      <w:tr w:rsidR="00676FD9" w14:paraId="719A5BCB" w14:textId="77777777">
        <w:trPr>
          <w:trHeight w:val="542"/>
        </w:trPr>
        <w:tc>
          <w:tcPr>
            <w:tcW w:w="1199" w:type="pct"/>
            <w:vAlign w:val="center"/>
          </w:tcPr>
          <w:p w14:paraId="4CB4CE15" w14:textId="77777777" w:rsidR="00676FD9" w:rsidRDefault="00000000">
            <w:pPr>
              <w:keepNext/>
              <w:jc w:val="center"/>
            </w:pPr>
            <w:r>
              <w:t>323</w:t>
            </w:r>
          </w:p>
        </w:tc>
        <w:tc>
          <w:tcPr>
            <w:tcW w:w="1401" w:type="pct"/>
            <w:vAlign w:val="center"/>
          </w:tcPr>
          <w:p w14:paraId="4F52D88A" w14:textId="77777777" w:rsidR="00676FD9" w:rsidRDefault="00000000">
            <w:pPr>
              <w:keepNext/>
              <w:jc w:val="center"/>
            </w:pPr>
            <w:r>
              <w:t>Rashodi za usluge</w:t>
            </w:r>
          </w:p>
        </w:tc>
        <w:tc>
          <w:tcPr>
            <w:tcW w:w="965" w:type="pct"/>
            <w:vAlign w:val="center"/>
          </w:tcPr>
          <w:p w14:paraId="384A08F7" w14:textId="77777777" w:rsidR="00676FD9" w:rsidRDefault="00000000">
            <w:pPr>
              <w:keepNext/>
              <w:jc w:val="center"/>
            </w:pPr>
            <w:r>
              <w:t>25.039,61</w:t>
            </w:r>
          </w:p>
        </w:tc>
        <w:tc>
          <w:tcPr>
            <w:tcW w:w="971" w:type="pct"/>
            <w:vAlign w:val="center"/>
          </w:tcPr>
          <w:p w14:paraId="0B46B59D" w14:textId="77777777" w:rsidR="00676FD9" w:rsidRDefault="00000000">
            <w:pPr>
              <w:keepNext/>
              <w:jc w:val="center"/>
            </w:pPr>
            <w:r>
              <w:t>30.012,51</w:t>
            </w:r>
          </w:p>
        </w:tc>
        <w:tc>
          <w:tcPr>
            <w:tcW w:w="462" w:type="pct"/>
            <w:vAlign w:val="center"/>
          </w:tcPr>
          <w:p w14:paraId="32B1FF42" w14:textId="77777777" w:rsidR="00676FD9" w:rsidRDefault="00000000">
            <w:pPr>
              <w:keepNext/>
              <w:jc w:val="center"/>
            </w:pPr>
            <w:r>
              <w:t>119,9</w:t>
            </w:r>
          </w:p>
        </w:tc>
      </w:tr>
      <w:tr w:rsidR="00676FD9" w14:paraId="37E4AD75" w14:textId="77777777">
        <w:trPr>
          <w:trHeight w:val="878"/>
        </w:trPr>
        <w:tc>
          <w:tcPr>
            <w:tcW w:w="1199" w:type="pct"/>
            <w:vAlign w:val="center"/>
          </w:tcPr>
          <w:p w14:paraId="49C06C43" w14:textId="77777777" w:rsidR="00676FD9" w:rsidRDefault="00000000">
            <w:pPr>
              <w:keepNext/>
              <w:jc w:val="center"/>
            </w:pPr>
            <w:r>
              <w:t>324</w:t>
            </w:r>
          </w:p>
        </w:tc>
        <w:tc>
          <w:tcPr>
            <w:tcW w:w="1401" w:type="pct"/>
            <w:vAlign w:val="center"/>
          </w:tcPr>
          <w:p w14:paraId="7606275E" w14:textId="77777777" w:rsidR="00676FD9" w:rsidRDefault="00000000">
            <w:pPr>
              <w:keepNext/>
              <w:jc w:val="center"/>
            </w:pPr>
            <w:r>
              <w:t>Naknade troškova osobama izvan radnog odnosa</w:t>
            </w:r>
          </w:p>
        </w:tc>
        <w:tc>
          <w:tcPr>
            <w:tcW w:w="965" w:type="pct"/>
            <w:vAlign w:val="center"/>
          </w:tcPr>
          <w:p w14:paraId="652149F7" w14:textId="77777777" w:rsidR="00676FD9" w:rsidRDefault="00000000">
            <w:pPr>
              <w:keepNext/>
              <w:jc w:val="center"/>
            </w:pPr>
            <w:r>
              <w:t>1.663,20</w:t>
            </w:r>
          </w:p>
        </w:tc>
        <w:tc>
          <w:tcPr>
            <w:tcW w:w="971" w:type="pct"/>
            <w:vAlign w:val="center"/>
          </w:tcPr>
          <w:p w14:paraId="491F7CA5" w14:textId="77777777" w:rsidR="00676FD9" w:rsidRDefault="00000000">
            <w:pPr>
              <w:keepNext/>
              <w:jc w:val="center"/>
            </w:pPr>
            <w:r>
              <w:t>0,00</w:t>
            </w:r>
          </w:p>
        </w:tc>
        <w:tc>
          <w:tcPr>
            <w:tcW w:w="462" w:type="pct"/>
            <w:vAlign w:val="center"/>
          </w:tcPr>
          <w:p w14:paraId="57FD9FB4" w14:textId="77777777" w:rsidR="00676FD9" w:rsidRDefault="00000000">
            <w:pPr>
              <w:keepNext/>
              <w:jc w:val="center"/>
            </w:pPr>
            <w:r>
              <w:t>0</w:t>
            </w:r>
          </w:p>
        </w:tc>
      </w:tr>
      <w:tr w:rsidR="00676FD9" w14:paraId="76FD53E3" w14:textId="77777777">
        <w:trPr>
          <w:trHeight w:val="878"/>
        </w:trPr>
        <w:tc>
          <w:tcPr>
            <w:tcW w:w="1199" w:type="pct"/>
            <w:vAlign w:val="center"/>
          </w:tcPr>
          <w:p w14:paraId="5ADF3F03" w14:textId="77777777" w:rsidR="00676FD9" w:rsidRDefault="00000000">
            <w:pPr>
              <w:keepNext/>
              <w:jc w:val="center"/>
            </w:pPr>
            <w:r>
              <w:t>329</w:t>
            </w:r>
          </w:p>
        </w:tc>
        <w:tc>
          <w:tcPr>
            <w:tcW w:w="1401" w:type="pct"/>
            <w:vAlign w:val="center"/>
          </w:tcPr>
          <w:p w14:paraId="41814A4E" w14:textId="77777777" w:rsidR="00676FD9" w:rsidRDefault="00000000">
            <w:pPr>
              <w:keepNext/>
              <w:jc w:val="center"/>
            </w:pPr>
            <w:r>
              <w:t>Ostali nespomenuti rashodi poslovanja</w:t>
            </w:r>
          </w:p>
        </w:tc>
        <w:tc>
          <w:tcPr>
            <w:tcW w:w="965" w:type="pct"/>
            <w:vAlign w:val="center"/>
          </w:tcPr>
          <w:p w14:paraId="180C619D" w14:textId="77777777" w:rsidR="00676FD9" w:rsidRDefault="00000000">
            <w:pPr>
              <w:keepNext/>
              <w:jc w:val="center"/>
            </w:pPr>
            <w:r>
              <w:t>127,44</w:t>
            </w:r>
          </w:p>
        </w:tc>
        <w:tc>
          <w:tcPr>
            <w:tcW w:w="971" w:type="pct"/>
            <w:vAlign w:val="center"/>
          </w:tcPr>
          <w:p w14:paraId="2E097E42" w14:textId="77777777" w:rsidR="00676FD9" w:rsidRDefault="00000000">
            <w:pPr>
              <w:keepNext/>
              <w:jc w:val="center"/>
            </w:pPr>
            <w:r>
              <w:t>309,42</w:t>
            </w:r>
          </w:p>
        </w:tc>
        <w:tc>
          <w:tcPr>
            <w:tcW w:w="462" w:type="pct"/>
            <w:vAlign w:val="center"/>
          </w:tcPr>
          <w:p w14:paraId="3D3D629F" w14:textId="77777777" w:rsidR="00676FD9" w:rsidRDefault="00000000">
            <w:pPr>
              <w:keepNext/>
              <w:jc w:val="center"/>
            </w:pPr>
            <w:r>
              <w:t>242,8</w:t>
            </w:r>
          </w:p>
        </w:tc>
      </w:tr>
    </w:tbl>
    <w:p w14:paraId="6F881B68" w14:textId="77777777" w:rsidR="00676FD9" w:rsidRDefault="00000000">
      <w:r>
        <w:t> </w:t>
      </w:r>
    </w:p>
    <w:p w14:paraId="53904D01" w14:textId="77777777" w:rsidR="00676FD9" w:rsidRDefault="00676FD9"/>
    <w:p w14:paraId="61E712AD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4E3C2BE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4659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A3D8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73EA1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A977A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2203A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B230B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45C93F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CD44B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1934DC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DC040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5397B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21.941,49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B028B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22.144,24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D66B1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100,9</w:t>
            </w:r>
          </w:p>
        </w:tc>
      </w:tr>
    </w:tbl>
    <w:p w14:paraId="549FDCCE" w14:textId="77777777" w:rsidR="00676FD9" w:rsidRDefault="00676FD9">
      <w:pPr>
        <w:spacing w:after="0"/>
      </w:pPr>
    </w:p>
    <w:p w14:paraId="13E69C49" w14:textId="77777777" w:rsidR="00676FD9" w:rsidRDefault="00000000">
      <w:r>
        <w:t>Naknade troškova zaposlenima (račun 321) izvršene su u iznosu od 22.144,24 EUR te je ova podskupina rashoda za 0,9 % veća u odnosu na izvršenje prethodne godine. Unutar ove podskupine rashoda najveće povećanje odnosi se na rashode za službena putovanja (zbog većeg broja seminara, konferencija i slično).</w:t>
      </w:r>
    </w:p>
    <w:p w14:paraId="11066102" w14:textId="77777777" w:rsidR="00676FD9" w:rsidRDefault="00676FD9"/>
    <w:p w14:paraId="3CC43DF4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4188FFE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98445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4219B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A2FA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29BD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16B35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AC3DF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02F3A7D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E1C1B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1913D2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A3B3B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EF509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47.625,97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B59BA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44.479,12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DE6FF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93,4</w:t>
            </w:r>
          </w:p>
        </w:tc>
      </w:tr>
    </w:tbl>
    <w:p w14:paraId="587ACFD3" w14:textId="77777777" w:rsidR="00676FD9" w:rsidRDefault="00676FD9">
      <w:pPr>
        <w:spacing w:after="0"/>
      </w:pPr>
    </w:p>
    <w:p w14:paraId="7A83C0FF" w14:textId="77777777" w:rsidR="00676FD9" w:rsidRDefault="00000000">
      <w:r>
        <w:t>Rashodi za materijal i energiju (šifra 322) izvršeni su u iznosu 44.479,12 EUR te su u odnosu na prethodnu godinu manji za 6,6 %. Glavno smanjenje u ovoj podskupini rashoda odnosi se na rashode za energiju koji su manji za 63,8% u odnosu na izvršenje u izvještajnom razdoblju prethodne godine.</w:t>
      </w:r>
    </w:p>
    <w:p w14:paraId="2B8FE455" w14:textId="77777777" w:rsidR="00676FD9" w:rsidRDefault="00676FD9"/>
    <w:p w14:paraId="4A3767B8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43319F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2EBB0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8A3B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D8916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0D02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E789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52A39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32D592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9864C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3208C0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659E3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30C6A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25.039,61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02C22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30.012,51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9BDDC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14:paraId="4670F2DE" w14:textId="77777777" w:rsidR="00676FD9" w:rsidRDefault="00676FD9">
      <w:pPr>
        <w:spacing w:after="0"/>
      </w:pPr>
    </w:p>
    <w:p w14:paraId="762217C5" w14:textId="77777777" w:rsidR="00676FD9" w:rsidRDefault="00000000">
      <w:r>
        <w:t xml:space="preserve">Rashodi za usluge  izvršeni su u iznosu od 30.012,51 EUR te su u odnosu na prethodnu godinu veći za 19,9 %. Unutar podskupine rashoda za usluge, najveće povećanje ostvareno je od usluga tekućeg i investicijskog održavanja u iznosu od 8.778,70 EUR te su veće za 105,5% u odnosu na </w:t>
      </w:r>
      <w:proofErr w:type="spellStart"/>
      <w:r>
        <w:t>prehodnu</w:t>
      </w:r>
      <w:proofErr w:type="spellEnd"/>
      <w:r>
        <w:t xml:space="preserve"> godinu.</w:t>
      </w:r>
    </w:p>
    <w:p w14:paraId="14F6DAB4" w14:textId="77777777" w:rsidR="00676FD9" w:rsidRDefault="00676FD9"/>
    <w:p w14:paraId="5D30E1DD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39727D6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5B726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FFAC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58E0B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73AB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3C4D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411F9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76AE4B3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2EE74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2BDE5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BC771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1F1E4E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DA7185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1FDB1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242,8</w:t>
            </w:r>
          </w:p>
        </w:tc>
      </w:tr>
    </w:tbl>
    <w:p w14:paraId="17893822" w14:textId="77777777" w:rsidR="00676FD9" w:rsidRDefault="00676FD9">
      <w:pPr>
        <w:spacing w:after="0"/>
      </w:pPr>
    </w:p>
    <w:p w14:paraId="063B233B" w14:textId="77777777" w:rsidR="00676FD9" w:rsidRDefault="00000000">
      <w:r>
        <w:lastRenderedPageBreak/>
        <w:t>Ostali nespomenuti rashodi poslovanja izvršeni su u iznosu od 127,44 EUR i veći su za 142,8 % u odnosu na izvršenje u izvještajnom razdoblju prethodne godine. Unutar podskupine ostalih nespomenutih rashoda, glavna odstupanja odnose se na rashode ostali nespomenuti rashodi poslovanja.</w:t>
      </w:r>
    </w:p>
    <w:p w14:paraId="25C34EB9" w14:textId="77777777" w:rsidR="00676FD9" w:rsidRDefault="00676FD9"/>
    <w:p w14:paraId="50AFE333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42C8B94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C0D1F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01FD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1B90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3C6B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B227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6DE3E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046577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8C0F2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8EC9D3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16930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D1F7E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E026F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0381C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71,9</w:t>
            </w:r>
          </w:p>
        </w:tc>
      </w:tr>
    </w:tbl>
    <w:p w14:paraId="43A8D702" w14:textId="77777777" w:rsidR="00676FD9" w:rsidRDefault="00676FD9">
      <w:pPr>
        <w:spacing w:after="0"/>
      </w:pPr>
    </w:p>
    <w:p w14:paraId="3F4D3FB1" w14:textId="77777777" w:rsidR="00676FD9" w:rsidRDefault="00000000">
      <w:r>
        <w:t>Financijski rashodi su ostvareni u iznosu od 798,61 EUR odnosno 71,9% u odnosu na prethodnu godinu.</w:t>
      </w:r>
    </w:p>
    <w:p w14:paraId="11914C95" w14:textId="77777777" w:rsidR="00676FD9" w:rsidRDefault="00000000">
      <w:r>
        <w:t xml:space="preserve">Navedeni rashodi se odnose na bankarske usluge  i </w:t>
      </w:r>
      <w:proofErr w:type="spellStart"/>
      <w:r>
        <w:t>uslue</w:t>
      </w:r>
      <w:proofErr w:type="spellEnd"/>
      <w:r>
        <w:t xml:space="preserve"> platnog prometa.</w:t>
      </w:r>
    </w:p>
    <w:p w14:paraId="0E33BD75" w14:textId="77777777" w:rsidR="00676FD9" w:rsidRDefault="00676FD9"/>
    <w:p w14:paraId="71F7F65C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7A70A70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324DA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99BB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83B49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73E00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28813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B275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3A9646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52F8E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BE3D6A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6FBC1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4D27C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9.396,46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BC1CD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6BEE6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9,7</w:t>
            </w:r>
          </w:p>
        </w:tc>
      </w:tr>
    </w:tbl>
    <w:p w14:paraId="32284BF2" w14:textId="77777777" w:rsidR="00676FD9" w:rsidRDefault="00676FD9">
      <w:pPr>
        <w:spacing w:after="0"/>
      </w:pPr>
    </w:p>
    <w:p w14:paraId="4EF65256" w14:textId="77777777" w:rsidR="00676FD9" w:rsidRDefault="00000000">
      <w:r>
        <w:t xml:space="preserve">Rashodi za nabavu proizvedene dugotrajne imovine ostvareni su u iznosu od 910,00 </w:t>
      </w:r>
      <w:proofErr w:type="spellStart"/>
      <w:r>
        <w:t>eur</w:t>
      </w:r>
      <w:proofErr w:type="spellEnd"/>
      <w:r>
        <w:t xml:space="preserve"> odnosno 9,7% u odnosu na prethodnu godinu. </w:t>
      </w:r>
    </w:p>
    <w:p w14:paraId="5AC19BC3" w14:textId="77777777" w:rsidR="00676FD9" w:rsidRDefault="00000000">
      <w:r>
        <w:t>Nabavljena je računalna oprema.</w:t>
      </w:r>
    </w:p>
    <w:p w14:paraId="50815E9B" w14:textId="77777777" w:rsidR="00676FD9" w:rsidRDefault="00000000">
      <w:r>
        <w:t> </w:t>
      </w:r>
    </w:p>
    <w:p w14:paraId="0E174730" w14:textId="77777777" w:rsidR="00676FD9" w:rsidRDefault="00676FD9"/>
    <w:p w14:paraId="2E12BEFA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4410972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53BB0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F91A0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273E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62BE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F30D6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1352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728600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343F4" w14:textId="77777777" w:rsidR="00676FD9" w:rsidRDefault="00676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D2B57F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9720B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916F1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13.451,28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21FAA2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7.032,10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905F2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52,3</w:t>
            </w:r>
          </w:p>
        </w:tc>
      </w:tr>
    </w:tbl>
    <w:p w14:paraId="19D714D3" w14:textId="77777777" w:rsidR="00676FD9" w:rsidRDefault="00676FD9">
      <w:pPr>
        <w:spacing w:after="0"/>
      </w:pPr>
    </w:p>
    <w:p w14:paraId="6B46A51D" w14:textId="77777777" w:rsidR="00676FD9" w:rsidRDefault="00000000">
      <w:r>
        <w:t>U izvještajnom razdoblju ostvaren je ukupan manjak prihoda i primitaka (šifra Y005) u iznosu 6.419,18 EUR, proizašao je iz:</w:t>
      </w:r>
      <w:r>
        <w:br/>
      </w:r>
      <w:r>
        <w:t>    manjak prihoda od poslovanja (Y001) 5.509,19 EUR,</w:t>
      </w:r>
      <w:r>
        <w:br/>
      </w:r>
      <w:r>
        <w:t>    manjka prihoda od nefinancijske imovine (Y002) 910,00 EUR.</w:t>
      </w:r>
      <w:r>
        <w:br/>
        <w:t xml:space="preserve">Preneseni višak prihoda i primitaka (šifra 9221-9222) iskazan je u iznosu od 13.451,28 EUR. </w:t>
      </w:r>
      <w:r>
        <w:lastRenderedPageBreak/>
        <w:t>U 2025. godini nije bilo ispravaka pogreški iz prethodnog razdoblja koje zahtijevaju diranje računa rezultata.</w:t>
      </w:r>
      <w:r>
        <w:br/>
        <w:t>Višak prihoda i primitaka - preneseni (šifra 9221-9222 tekuće godine) smanjuje se za ostvareni manjak prihoda i primitaka tekuće godine u iznosu od 6.419,18 EUR (šifra Y005), tako da višak prihoda i primitaka raspoloživ u sljedećem razdoblju iznosi 7.032,10 EUR (šifra X006). </w:t>
      </w:r>
    </w:p>
    <w:p w14:paraId="103927CC" w14:textId="77777777" w:rsidR="00676FD9" w:rsidRDefault="00000000">
      <w:r>
        <w:t> </w:t>
      </w:r>
    </w:p>
    <w:p w14:paraId="7BB88410" w14:textId="77777777" w:rsidR="00676FD9" w:rsidRDefault="00000000">
      <w:r>
        <w:t> </w:t>
      </w:r>
    </w:p>
    <w:p w14:paraId="70AF5A89" w14:textId="77777777" w:rsidR="00676FD9" w:rsidRDefault="00676FD9"/>
    <w:p w14:paraId="12313C5F" w14:textId="77777777" w:rsidR="00676FD9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5E5D312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0D27B87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F02C0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955D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F0DFF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8B0E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7496A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8238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14FA185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CF045" w14:textId="77777777" w:rsidR="00676FD9" w:rsidRDefault="00676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FA59A4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DA27F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5FCBA3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70.948,32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4138A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68.982,35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E817B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</w:t>
            </w:r>
          </w:p>
        </w:tc>
      </w:tr>
    </w:tbl>
    <w:p w14:paraId="59846E1D" w14:textId="77777777" w:rsidR="00676FD9" w:rsidRDefault="00676FD9">
      <w:pPr>
        <w:spacing w:after="0"/>
      </w:pPr>
    </w:p>
    <w:p w14:paraId="48812454" w14:textId="77777777" w:rsidR="00676FD9" w:rsidRDefault="00000000">
      <w:r>
        <w:t>Vrijednost ukupne imovine na dan 31. prosinca 2025 godine iznosi 68.982,35 EUR i u odnosu na stanje imovine 1. siječnja 2025. godine evidentno je smanjenje za 2,8 %. Udio financijske imovine u ukupnoj imovini iznosi 82,9 %, dok nefinancijska imovina u ukupnoj imovini Dječjeg vrtića participira udjelom od 17,10 %.</w:t>
      </w:r>
    </w:p>
    <w:p w14:paraId="1D5B8388" w14:textId="77777777" w:rsidR="00676FD9" w:rsidRDefault="00676FD9"/>
    <w:p w14:paraId="5AD1CA27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18EAE9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51A8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77726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2B8EE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D714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FA36E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DAFB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75CC974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B33E2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A22218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2C704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9A531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15.218,82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63203D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11.796,35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8C363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</w:t>
            </w:r>
          </w:p>
        </w:tc>
      </w:tr>
    </w:tbl>
    <w:p w14:paraId="44D4C222" w14:textId="77777777" w:rsidR="00676FD9" w:rsidRDefault="00676FD9">
      <w:pPr>
        <w:spacing w:after="0"/>
      </w:pPr>
    </w:p>
    <w:p w14:paraId="31285A82" w14:textId="77777777" w:rsidR="00676FD9" w:rsidRDefault="00000000">
      <w:r>
        <w:t>Proizvedena dugotrajna imovina (šifra 02) – Vrijednost proizvedene dugotrajne imovine na dan 31. prosinca 2025. iznosi 11.796,35 EUR te je manja za 22,5 % u odnosu na prethodnu godinu.</w:t>
      </w:r>
    </w:p>
    <w:p w14:paraId="742503FE" w14:textId="77777777" w:rsidR="00676FD9" w:rsidRDefault="00676FD9"/>
    <w:p w14:paraId="4B170E26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4F67808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6B0C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8AE7E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AD65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D94C9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199F2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B91D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7383F6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BCD68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C3F85B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B9247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771C1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14.721,12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63C949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11.547,51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DDCFF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78,4</w:t>
            </w:r>
          </w:p>
        </w:tc>
      </w:tr>
    </w:tbl>
    <w:p w14:paraId="28969036" w14:textId="77777777" w:rsidR="00676FD9" w:rsidRDefault="00676FD9">
      <w:pPr>
        <w:spacing w:after="0"/>
      </w:pPr>
    </w:p>
    <w:p w14:paraId="33272D60" w14:textId="77777777" w:rsidR="00676FD9" w:rsidRDefault="00000000">
      <w:r>
        <w:lastRenderedPageBreak/>
        <w:t>Postrojenja i oprema (šifra 022 i 02922) – Vrijednost postrojenja i opreme na dan 31. prosinca 2025. godine iznosi 11.547,51 EUR te je manja za 21,6 % u odnosu na prethodnu godinu a sve sukladno opisanoj nabavi proizvedene dugotrajne imovine. </w:t>
      </w:r>
    </w:p>
    <w:p w14:paraId="010499D7" w14:textId="77777777" w:rsidR="00676FD9" w:rsidRDefault="00676FD9"/>
    <w:p w14:paraId="288E780B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31A2E88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FF48B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566D5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6ABA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4214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E55B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B705F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726C3DC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F0165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A559AF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E47D3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6146F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55.729,50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ADBA9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57.186,00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9CD78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102,6</w:t>
            </w:r>
          </w:p>
        </w:tc>
      </w:tr>
    </w:tbl>
    <w:p w14:paraId="3D8BA6B5" w14:textId="77777777" w:rsidR="00676FD9" w:rsidRDefault="00676FD9">
      <w:pPr>
        <w:spacing w:after="0"/>
      </w:pPr>
    </w:p>
    <w:p w14:paraId="3187414D" w14:textId="77777777" w:rsidR="00676FD9" w:rsidRDefault="00000000">
      <w:r>
        <w:t>Vrijednost ukupne financijske imovine Dječjeg vrtića iznosi 57.186,00 EUR i bilježi povećanje za 2,6 % u odnosu na stanje 1. siječnja 2025. godine. U sljedećoj tablici prikazana je struktura financijske imovine.</w:t>
      </w:r>
    </w:p>
    <w:tbl>
      <w:tblPr>
        <w:tblStyle w:val="Reetkatablice"/>
        <w:tblW w:w="4658" w:type="pct"/>
        <w:tblLook w:val="04A0" w:firstRow="1" w:lastRow="0" w:firstColumn="1" w:lastColumn="0" w:noHBand="0" w:noVBand="1"/>
      </w:tblPr>
      <w:tblGrid>
        <w:gridCol w:w="798"/>
        <w:gridCol w:w="2469"/>
        <w:gridCol w:w="1956"/>
        <w:gridCol w:w="1769"/>
        <w:gridCol w:w="1450"/>
      </w:tblGrid>
      <w:tr w:rsidR="00676FD9" w14:paraId="5B5D791D" w14:textId="77777777">
        <w:trPr>
          <w:trHeight w:val="542"/>
        </w:trPr>
        <w:tc>
          <w:tcPr>
            <w:tcW w:w="472" w:type="pct"/>
            <w:vAlign w:val="center"/>
          </w:tcPr>
          <w:p w14:paraId="2CE0EEC1" w14:textId="77777777" w:rsidR="00676FD9" w:rsidRDefault="00000000">
            <w:pPr>
              <w:keepNext/>
              <w:jc w:val="center"/>
            </w:pPr>
            <w:r>
              <w:t> </w:t>
            </w:r>
          </w:p>
        </w:tc>
        <w:tc>
          <w:tcPr>
            <w:tcW w:w="1462" w:type="pct"/>
            <w:vAlign w:val="center"/>
          </w:tcPr>
          <w:p w14:paraId="4C343C67" w14:textId="77777777" w:rsidR="00676FD9" w:rsidRDefault="00000000">
            <w:pPr>
              <w:keepNext/>
              <w:jc w:val="center"/>
            </w:pPr>
            <w:r>
              <w:t> </w:t>
            </w:r>
          </w:p>
        </w:tc>
        <w:tc>
          <w:tcPr>
            <w:tcW w:w="1158" w:type="pct"/>
            <w:vAlign w:val="center"/>
          </w:tcPr>
          <w:p w14:paraId="0AFE108A" w14:textId="77777777" w:rsidR="00676FD9" w:rsidRDefault="00000000">
            <w:pPr>
              <w:keepNext/>
              <w:jc w:val="center"/>
            </w:pPr>
            <w:r>
              <w:t>1.siječnja 2025.</w:t>
            </w:r>
          </w:p>
        </w:tc>
        <w:tc>
          <w:tcPr>
            <w:tcW w:w="1048" w:type="pct"/>
            <w:vAlign w:val="center"/>
          </w:tcPr>
          <w:p w14:paraId="4FCD3ECC" w14:textId="77777777" w:rsidR="00676FD9" w:rsidRDefault="00000000">
            <w:pPr>
              <w:keepNext/>
              <w:jc w:val="center"/>
            </w:pPr>
            <w:r>
              <w:t>31.prosinca 2025.</w:t>
            </w:r>
          </w:p>
        </w:tc>
        <w:tc>
          <w:tcPr>
            <w:tcW w:w="859" w:type="pct"/>
            <w:vAlign w:val="center"/>
          </w:tcPr>
          <w:p w14:paraId="0FEEE896" w14:textId="77777777" w:rsidR="00676FD9" w:rsidRDefault="00000000">
            <w:pPr>
              <w:keepNext/>
              <w:jc w:val="center"/>
            </w:pPr>
            <w:r>
              <w:t>Indeks</w:t>
            </w:r>
          </w:p>
        </w:tc>
      </w:tr>
      <w:tr w:rsidR="00676FD9" w14:paraId="230C93F4" w14:textId="77777777">
        <w:trPr>
          <w:trHeight w:val="542"/>
        </w:trPr>
        <w:tc>
          <w:tcPr>
            <w:tcW w:w="472" w:type="pct"/>
            <w:vAlign w:val="center"/>
          </w:tcPr>
          <w:p w14:paraId="2BFC3756" w14:textId="77777777" w:rsidR="00676FD9" w:rsidRDefault="00000000">
            <w:pPr>
              <w:keepNext/>
              <w:jc w:val="center"/>
            </w:pPr>
            <w:r>
              <w:t>11</w:t>
            </w:r>
          </w:p>
        </w:tc>
        <w:tc>
          <w:tcPr>
            <w:tcW w:w="1462" w:type="pct"/>
            <w:vAlign w:val="center"/>
          </w:tcPr>
          <w:p w14:paraId="05E3A401" w14:textId="77777777" w:rsidR="00676FD9" w:rsidRDefault="00000000">
            <w:pPr>
              <w:keepNext/>
              <w:jc w:val="center"/>
            </w:pPr>
            <w:r>
              <w:t>Novac u banci i blagajni </w:t>
            </w:r>
          </w:p>
        </w:tc>
        <w:tc>
          <w:tcPr>
            <w:tcW w:w="1158" w:type="pct"/>
            <w:vAlign w:val="center"/>
          </w:tcPr>
          <w:p w14:paraId="091771F7" w14:textId="77777777" w:rsidR="00676FD9" w:rsidRDefault="00000000">
            <w:pPr>
              <w:keepNext/>
              <w:jc w:val="center"/>
            </w:pPr>
            <w:r>
              <w:t>43.256,63</w:t>
            </w:r>
          </w:p>
        </w:tc>
        <w:tc>
          <w:tcPr>
            <w:tcW w:w="1048" w:type="pct"/>
            <w:vAlign w:val="center"/>
          </w:tcPr>
          <w:p w14:paraId="637BBBAA" w14:textId="77777777" w:rsidR="00676FD9" w:rsidRDefault="00000000">
            <w:pPr>
              <w:keepNext/>
              <w:jc w:val="center"/>
            </w:pPr>
            <w:r>
              <w:t>45.084,03</w:t>
            </w:r>
          </w:p>
        </w:tc>
        <w:tc>
          <w:tcPr>
            <w:tcW w:w="859" w:type="pct"/>
            <w:vAlign w:val="center"/>
          </w:tcPr>
          <w:p w14:paraId="1CDB45AC" w14:textId="77777777" w:rsidR="00676FD9" w:rsidRDefault="00000000">
            <w:pPr>
              <w:keepNext/>
              <w:jc w:val="center"/>
            </w:pPr>
            <w:r>
              <w:t>104,2</w:t>
            </w:r>
          </w:p>
        </w:tc>
      </w:tr>
      <w:tr w:rsidR="00676FD9" w14:paraId="347F6CAD" w14:textId="77777777">
        <w:trPr>
          <w:trHeight w:val="1214"/>
        </w:trPr>
        <w:tc>
          <w:tcPr>
            <w:tcW w:w="472" w:type="pct"/>
            <w:vAlign w:val="center"/>
          </w:tcPr>
          <w:p w14:paraId="3494C185" w14:textId="77777777" w:rsidR="00676FD9" w:rsidRDefault="00000000">
            <w:pPr>
              <w:keepNext/>
              <w:jc w:val="center"/>
            </w:pPr>
            <w:r>
              <w:t>12</w:t>
            </w:r>
          </w:p>
        </w:tc>
        <w:tc>
          <w:tcPr>
            <w:tcW w:w="1462" w:type="pct"/>
            <w:vAlign w:val="center"/>
          </w:tcPr>
          <w:p w14:paraId="49D0E8E7" w14:textId="77777777" w:rsidR="00676FD9" w:rsidRDefault="00000000">
            <w:pPr>
              <w:keepNext/>
              <w:jc w:val="center"/>
            </w:pPr>
            <w:r>
              <w:t xml:space="preserve">Depoziti, </w:t>
            </w:r>
            <w:proofErr w:type="spellStart"/>
            <w:r>
              <w:t>jamčevni</w:t>
            </w:r>
            <w:proofErr w:type="spellEnd"/>
            <w:r>
              <w:t xml:space="preserve"> </w:t>
            </w:r>
            <w:proofErr w:type="spellStart"/>
            <w:r>
              <w:t>polozi</w:t>
            </w:r>
            <w:proofErr w:type="spellEnd"/>
            <w:r>
              <w:t xml:space="preserve"> i potraživanja od zaposlenih te za više plaćene poreze i </w:t>
            </w:r>
            <w:proofErr w:type="spellStart"/>
            <w:r>
              <w:t>ost</w:t>
            </w:r>
            <w:proofErr w:type="spellEnd"/>
            <w:r>
              <w:t>.</w:t>
            </w:r>
          </w:p>
        </w:tc>
        <w:tc>
          <w:tcPr>
            <w:tcW w:w="1158" w:type="pct"/>
            <w:vAlign w:val="center"/>
          </w:tcPr>
          <w:p w14:paraId="6E83BABC" w14:textId="77777777" w:rsidR="00676FD9" w:rsidRDefault="00000000">
            <w:pPr>
              <w:keepNext/>
              <w:jc w:val="center"/>
            </w:pPr>
            <w:r>
              <w:t>623,19</w:t>
            </w:r>
          </w:p>
        </w:tc>
        <w:tc>
          <w:tcPr>
            <w:tcW w:w="1048" w:type="pct"/>
            <w:vAlign w:val="center"/>
          </w:tcPr>
          <w:p w14:paraId="4E9FAFD0" w14:textId="77777777" w:rsidR="00676FD9" w:rsidRDefault="00000000">
            <w:pPr>
              <w:keepNext/>
              <w:jc w:val="center"/>
            </w:pPr>
            <w:r>
              <w:t>865,25</w:t>
            </w:r>
          </w:p>
        </w:tc>
        <w:tc>
          <w:tcPr>
            <w:tcW w:w="859" w:type="pct"/>
            <w:vAlign w:val="center"/>
          </w:tcPr>
          <w:p w14:paraId="5F289F98" w14:textId="77777777" w:rsidR="00676FD9" w:rsidRDefault="00000000">
            <w:pPr>
              <w:keepNext/>
              <w:jc w:val="center"/>
            </w:pPr>
            <w:r>
              <w:t>138,8</w:t>
            </w:r>
          </w:p>
        </w:tc>
      </w:tr>
      <w:tr w:rsidR="00676FD9" w14:paraId="07AD4F7A" w14:textId="77777777">
        <w:trPr>
          <w:trHeight w:val="542"/>
        </w:trPr>
        <w:tc>
          <w:tcPr>
            <w:tcW w:w="472" w:type="pct"/>
            <w:vAlign w:val="center"/>
          </w:tcPr>
          <w:p w14:paraId="1778F640" w14:textId="77777777" w:rsidR="00676FD9" w:rsidRDefault="00000000">
            <w:pPr>
              <w:keepNext/>
              <w:jc w:val="center"/>
            </w:pPr>
            <w:r>
              <w:t>16</w:t>
            </w:r>
          </w:p>
        </w:tc>
        <w:tc>
          <w:tcPr>
            <w:tcW w:w="1462" w:type="pct"/>
            <w:vAlign w:val="center"/>
          </w:tcPr>
          <w:p w14:paraId="168BC115" w14:textId="77777777" w:rsidR="00676FD9" w:rsidRDefault="00000000">
            <w:pPr>
              <w:keepNext/>
              <w:jc w:val="center"/>
            </w:pPr>
            <w:r>
              <w:t>Potraživanja za prihode poslovanja </w:t>
            </w:r>
          </w:p>
        </w:tc>
        <w:tc>
          <w:tcPr>
            <w:tcW w:w="1158" w:type="pct"/>
            <w:vAlign w:val="center"/>
          </w:tcPr>
          <w:p w14:paraId="0A7AEF37" w14:textId="77777777" w:rsidR="00676FD9" w:rsidRDefault="00000000">
            <w:pPr>
              <w:keepNext/>
              <w:jc w:val="center"/>
            </w:pPr>
            <w:r>
              <w:t>11.849,68</w:t>
            </w:r>
          </w:p>
        </w:tc>
        <w:tc>
          <w:tcPr>
            <w:tcW w:w="1048" w:type="pct"/>
            <w:vAlign w:val="center"/>
          </w:tcPr>
          <w:p w14:paraId="2937C761" w14:textId="77777777" w:rsidR="00676FD9" w:rsidRDefault="00000000">
            <w:pPr>
              <w:keepNext/>
              <w:jc w:val="center"/>
            </w:pPr>
            <w:r>
              <w:t>11.236,72</w:t>
            </w:r>
          </w:p>
        </w:tc>
        <w:tc>
          <w:tcPr>
            <w:tcW w:w="859" w:type="pct"/>
            <w:vAlign w:val="center"/>
          </w:tcPr>
          <w:p w14:paraId="5BE8A921" w14:textId="77777777" w:rsidR="00676FD9" w:rsidRDefault="00000000">
            <w:pPr>
              <w:keepNext/>
              <w:jc w:val="center"/>
            </w:pPr>
            <w:r>
              <w:t>94,8</w:t>
            </w:r>
          </w:p>
        </w:tc>
      </w:tr>
    </w:tbl>
    <w:p w14:paraId="1ECEB1CC" w14:textId="77777777" w:rsidR="00676FD9" w:rsidRDefault="00000000">
      <w:r>
        <w:t> </w:t>
      </w:r>
    </w:p>
    <w:p w14:paraId="7A87949B" w14:textId="77777777" w:rsidR="00676FD9" w:rsidRDefault="00676FD9"/>
    <w:p w14:paraId="3E5CF2AC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0E03817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68DC6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99DE0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A760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E308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9546E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8FD8A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5D544D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A35AE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3A1553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0E512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0CE2A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43.256,63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A1E705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45.084,03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8626A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14:paraId="0639B4C0" w14:textId="77777777" w:rsidR="00676FD9" w:rsidRDefault="00676FD9">
      <w:pPr>
        <w:spacing w:after="0"/>
      </w:pPr>
    </w:p>
    <w:p w14:paraId="6ED7E637" w14:textId="77777777" w:rsidR="00676FD9" w:rsidRDefault="00000000">
      <w:r>
        <w:t>Novac u banci i blagajni (šifra 11) – novčana sredstava na računu u HPB banci u odnosu na 1. siječnja 2025. godine uvećana su za 4,2% i iznose 45.084,03 EUR jer je nadležni proračun koncem prosinca 2025. doznačio sredstva na račun Dječjeg vrtića za plaću za prosinac 2025.</w:t>
      </w:r>
    </w:p>
    <w:p w14:paraId="6BA7BC39" w14:textId="77777777" w:rsidR="00676FD9" w:rsidRDefault="00676FD9"/>
    <w:p w14:paraId="1CECB472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3019BD0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335E2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6E8F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4C2C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0D463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0A51E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B50DB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3939EE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646E1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8A178D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6790D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4ED918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B1A60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FB89A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</w:tbl>
    <w:p w14:paraId="7E813B69" w14:textId="77777777" w:rsidR="00676FD9" w:rsidRDefault="00676FD9">
      <w:pPr>
        <w:spacing w:after="0"/>
      </w:pPr>
    </w:p>
    <w:p w14:paraId="3ED12115" w14:textId="77777777" w:rsidR="00676FD9" w:rsidRDefault="00000000">
      <w:r>
        <w:t xml:space="preserve">Depoziti, 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 xml:space="preserve"> i potraživanja od zaposlenih te za više plaćene poreze i ostalo (šifra 12) – početno stanje povećano je za 38,8 % i sada iznosi 865,25 EUR.  Navedeno se odnosi na potraživanja za naknade koje se refundiraju (HZZO).</w:t>
      </w:r>
    </w:p>
    <w:p w14:paraId="77EEF8DE" w14:textId="77777777" w:rsidR="00676FD9" w:rsidRDefault="00676FD9"/>
    <w:p w14:paraId="25CE5F7A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4366F49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1847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49FF3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926E2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5A4CF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08AF1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F0F33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5B0CDB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20F42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D03EFA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CDB27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05B4E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11.849,68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BAE27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11.236,72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500CF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</w:tbl>
    <w:p w14:paraId="1756D9FF" w14:textId="77777777" w:rsidR="00676FD9" w:rsidRDefault="00676FD9">
      <w:pPr>
        <w:spacing w:after="0"/>
      </w:pPr>
    </w:p>
    <w:p w14:paraId="79F5DA88" w14:textId="77777777" w:rsidR="00676FD9" w:rsidRDefault="00000000">
      <w:r>
        <w:t>Potraživanja za prihode poslovanja (šifra 16) – stanje ukupnih potraživanja za prihode poslovanja na 31. prosinca 2025. iznosi 11.236,72 EUR. Potraživanja za prihode poslovanja uključuju potraživanja za upravne i administrativne pristojbe, pristojbe po posebnim propisima i naknade (potraživanja od roditelja). Navedena potraživanja se odnose za uslugu boravka u Dječjem vrtiću. Dospjela potraživanja iznose 6.233,,24 EUR, a nedospjela iznose 5.003,48 EUR.</w:t>
      </w:r>
    </w:p>
    <w:p w14:paraId="67CD9DDF" w14:textId="77777777" w:rsidR="00676FD9" w:rsidRDefault="00676FD9"/>
    <w:p w14:paraId="562E67A0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6D45AC2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A4961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DE96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0D69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5FA9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C07A5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E0EA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78E4677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9716A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B0BA10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EC763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3F70E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29.968,15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9C8F9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38.917,18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FE016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14:paraId="6D62E26D" w14:textId="77777777" w:rsidR="00676FD9" w:rsidRDefault="00676FD9">
      <w:pPr>
        <w:spacing w:after="0"/>
      </w:pPr>
    </w:p>
    <w:p w14:paraId="05957367" w14:textId="77777777" w:rsidR="00676FD9" w:rsidRDefault="00000000">
      <w:r>
        <w:t>Obveze bilježe ukupno povećanje za 29,9% u odnosu na prethodnu godinu i iznose 38.917,18 EUR (šifra 2). U sljedećoj tablici prikazana je struktura obveza.</w:t>
      </w:r>
    </w:p>
    <w:tbl>
      <w:tblPr>
        <w:tblStyle w:val="Reetkatablice"/>
        <w:tblW w:w="4620" w:type="pct"/>
        <w:tblLook w:val="04A0" w:firstRow="1" w:lastRow="0" w:firstColumn="1" w:lastColumn="0" w:noHBand="0" w:noVBand="1"/>
      </w:tblPr>
      <w:tblGrid>
        <w:gridCol w:w="1558"/>
        <w:gridCol w:w="2880"/>
        <w:gridCol w:w="1619"/>
        <w:gridCol w:w="1410"/>
        <w:gridCol w:w="906"/>
      </w:tblGrid>
      <w:tr w:rsidR="00676FD9" w14:paraId="700CCD95" w14:textId="77777777">
        <w:trPr>
          <w:trHeight w:val="542"/>
        </w:trPr>
        <w:tc>
          <w:tcPr>
            <w:tcW w:w="930" w:type="pct"/>
            <w:vAlign w:val="center"/>
          </w:tcPr>
          <w:p w14:paraId="5178D703" w14:textId="77777777" w:rsidR="00676FD9" w:rsidRDefault="00000000">
            <w:pPr>
              <w:keepNext/>
              <w:jc w:val="center"/>
            </w:pPr>
            <w:r>
              <w:lastRenderedPageBreak/>
              <w:t xml:space="preserve">Račun iz </w:t>
            </w:r>
            <w:proofErr w:type="spellStart"/>
            <w:r>
              <w:t>Rač</w:t>
            </w:r>
            <w:proofErr w:type="spellEnd"/>
            <w:r>
              <w:t>. plana</w:t>
            </w:r>
          </w:p>
        </w:tc>
        <w:tc>
          <w:tcPr>
            <w:tcW w:w="1718" w:type="pct"/>
            <w:vAlign w:val="center"/>
          </w:tcPr>
          <w:p w14:paraId="23DD6875" w14:textId="77777777" w:rsidR="00676FD9" w:rsidRDefault="00000000">
            <w:pPr>
              <w:keepNext/>
              <w:jc w:val="center"/>
            </w:pPr>
            <w:r>
              <w:t>Opis stavke</w:t>
            </w:r>
          </w:p>
        </w:tc>
        <w:tc>
          <w:tcPr>
            <w:tcW w:w="967" w:type="pct"/>
            <w:vAlign w:val="center"/>
          </w:tcPr>
          <w:p w14:paraId="7FFD0639" w14:textId="77777777" w:rsidR="00676FD9" w:rsidRDefault="00000000">
            <w:pPr>
              <w:keepNext/>
              <w:jc w:val="center"/>
            </w:pPr>
            <w:r>
              <w:t>1. siječnja 2025.</w:t>
            </w:r>
          </w:p>
        </w:tc>
        <w:tc>
          <w:tcPr>
            <w:tcW w:w="842" w:type="pct"/>
            <w:vAlign w:val="center"/>
          </w:tcPr>
          <w:p w14:paraId="28E4C1FA" w14:textId="77777777" w:rsidR="00676FD9" w:rsidRDefault="00000000">
            <w:pPr>
              <w:keepNext/>
              <w:jc w:val="center"/>
            </w:pPr>
            <w:r>
              <w:t>31. prosinca 2025.</w:t>
            </w:r>
          </w:p>
        </w:tc>
        <w:tc>
          <w:tcPr>
            <w:tcW w:w="541" w:type="pct"/>
            <w:vAlign w:val="center"/>
          </w:tcPr>
          <w:p w14:paraId="6AF264AA" w14:textId="77777777" w:rsidR="00676FD9" w:rsidRDefault="00000000">
            <w:pPr>
              <w:keepNext/>
              <w:jc w:val="center"/>
            </w:pPr>
            <w:r>
              <w:t>Indeks</w:t>
            </w:r>
          </w:p>
        </w:tc>
      </w:tr>
      <w:tr w:rsidR="00676FD9" w14:paraId="3D3EA1AE" w14:textId="77777777">
        <w:trPr>
          <w:trHeight w:val="542"/>
        </w:trPr>
        <w:tc>
          <w:tcPr>
            <w:tcW w:w="930" w:type="pct"/>
            <w:vAlign w:val="center"/>
          </w:tcPr>
          <w:p w14:paraId="3637C8D6" w14:textId="77777777" w:rsidR="00676FD9" w:rsidRDefault="00000000">
            <w:pPr>
              <w:keepNext/>
              <w:jc w:val="center"/>
            </w:pPr>
            <w:r>
              <w:t>2</w:t>
            </w:r>
          </w:p>
        </w:tc>
        <w:tc>
          <w:tcPr>
            <w:tcW w:w="1718" w:type="pct"/>
            <w:vAlign w:val="center"/>
          </w:tcPr>
          <w:p w14:paraId="15208F63" w14:textId="77777777" w:rsidR="00676FD9" w:rsidRDefault="00000000">
            <w:pPr>
              <w:keepNext/>
              <w:jc w:val="center"/>
            </w:pPr>
            <w:r>
              <w:t>Obveze</w:t>
            </w:r>
          </w:p>
        </w:tc>
        <w:tc>
          <w:tcPr>
            <w:tcW w:w="967" w:type="pct"/>
            <w:vAlign w:val="center"/>
          </w:tcPr>
          <w:p w14:paraId="1D29940C" w14:textId="77777777" w:rsidR="00676FD9" w:rsidRDefault="00000000">
            <w:pPr>
              <w:keepNext/>
              <w:jc w:val="center"/>
            </w:pPr>
            <w:r>
              <w:t>29.968,15</w:t>
            </w:r>
          </w:p>
        </w:tc>
        <w:tc>
          <w:tcPr>
            <w:tcW w:w="842" w:type="pct"/>
            <w:vAlign w:val="center"/>
          </w:tcPr>
          <w:p w14:paraId="5F2143FC" w14:textId="77777777" w:rsidR="00676FD9" w:rsidRDefault="00000000">
            <w:pPr>
              <w:keepNext/>
              <w:jc w:val="center"/>
            </w:pPr>
            <w:r>
              <w:t>38.917,18</w:t>
            </w:r>
          </w:p>
        </w:tc>
        <w:tc>
          <w:tcPr>
            <w:tcW w:w="541" w:type="pct"/>
            <w:vAlign w:val="center"/>
          </w:tcPr>
          <w:p w14:paraId="1A39FA28" w14:textId="77777777" w:rsidR="00676FD9" w:rsidRDefault="00000000">
            <w:pPr>
              <w:keepNext/>
              <w:jc w:val="center"/>
            </w:pPr>
            <w:r>
              <w:t>129,9</w:t>
            </w:r>
          </w:p>
        </w:tc>
      </w:tr>
      <w:tr w:rsidR="00676FD9" w14:paraId="0352C99C" w14:textId="77777777">
        <w:trPr>
          <w:trHeight w:val="542"/>
        </w:trPr>
        <w:tc>
          <w:tcPr>
            <w:tcW w:w="930" w:type="pct"/>
            <w:vAlign w:val="center"/>
          </w:tcPr>
          <w:p w14:paraId="26CD5F30" w14:textId="77777777" w:rsidR="00676FD9" w:rsidRDefault="00000000">
            <w:pPr>
              <w:keepNext/>
              <w:jc w:val="center"/>
            </w:pPr>
            <w:r>
              <w:t>23</w:t>
            </w:r>
          </w:p>
        </w:tc>
        <w:tc>
          <w:tcPr>
            <w:tcW w:w="1718" w:type="pct"/>
            <w:vAlign w:val="center"/>
          </w:tcPr>
          <w:p w14:paraId="2FC97926" w14:textId="77777777" w:rsidR="00676FD9" w:rsidRDefault="00000000">
            <w:pPr>
              <w:keepNext/>
              <w:jc w:val="center"/>
            </w:pPr>
            <w:r>
              <w:t>Obveze za rashode poslovanja</w:t>
            </w:r>
          </w:p>
        </w:tc>
        <w:tc>
          <w:tcPr>
            <w:tcW w:w="967" w:type="pct"/>
            <w:vAlign w:val="center"/>
          </w:tcPr>
          <w:p w14:paraId="5F396FEF" w14:textId="77777777" w:rsidR="00676FD9" w:rsidRDefault="00000000">
            <w:pPr>
              <w:keepNext/>
              <w:jc w:val="center"/>
            </w:pPr>
            <w:r>
              <w:t>29.968,15</w:t>
            </w:r>
          </w:p>
        </w:tc>
        <w:tc>
          <w:tcPr>
            <w:tcW w:w="842" w:type="pct"/>
            <w:vAlign w:val="center"/>
          </w:tcPr>
          <w:p w14:paraId="39880874" w14:textId="77777777" w:rsidR="00676FD9" w:rsidRDefault="00000000">
            <w:pPr>
              <w:keepNext/>
              <w:jc w:val="center"/>
            </w:pPr>
            <w:r>
              <w:t>38.917,18</w:t>
            </w:r>
          </w:p>
        </w:tc>
        <w:tc>
          <w:tcPr>
            <w:tcW w:w="541" w:type="pct"/>
            <w:vAlign w:val="center"/>
          </w:tcPr>
          <w:p w14:paraId="32B921CF" w14:textId="77777777" w:rsidR="00676FD9" w:rsidRDefault="00000000">
            <w:pPr>
              <w:keepNext/>
              <w:jc w:val="center"/>
            </w:pPr>
            <w:r>
              <w:t>129,9</w:t>
            </w:r>
          </w:p>
        </w:tc>
      </w:tr>
      <w:tr w:rsidR="00676FD9" w14:paraId="49782D7A" w14:textId="77777777">
        <w:trPr>
          <w:trHeight w:val="542"/>
        </w:trPr>
        <w:tc>
          <w:tcPr>
            <w:tcW w:w="930" w:type="pct"/>
            <w:vAlign w:val="center"/>
          </w:tcPr>
          <w:p w14:paraId="1A0D1D1F" w14:textId="77777777" w:rsidR="00676FD9" w:rsidRDefault="00000000">
            <w:pPr>
              <w:keepNext/>
              <w:jc w:val="center"/>
            </w:pPr>
            <w:r>
              <w:t>231</w:t>
            </w:r>
          </w:p>
        </w:tc>
        <w:tc>
          <w:tcPr>
            <w:tcW w:w="1718" w:type="pct"/>
            <w:vAlign w:val="center"/>
          </w:tcPr>
          <w:p w14:paraId="0422F1A1" w14:textId="77777777" w:rsidR="00676FD9" w:rsidRDefault="00000000">
            <w:pPr>
              <w:keepNext/>
              <w:jc w:val="center"/>
            </w:pPr>
            <w:r>
              <w:t>Obveze za zaposlene</w:t>
            </w:r>
          </w:p>
        </w:tc>
        <w:tc>
          <w:tcPr>
            <w:tcW w:w="967" w:type="pct"/>
            <w:vAlign w:val="center"/>
          </w:tcPr>
          <w:p w14:paraId="4B9C5CEB" w14:textId="77777777" w:rsidR="00676FD9" w:rsidRDefault="00000000">
            <w:pPr>
              <w:keepNext/>
              <w:jc w:val="center"/>
            </w:pPr>
            <w:r>
              <w:t>21.779,88</w:t>
            </w:r>
          </w:p>
        </w:tc>
        <w:tc>
          <w:tcPr>
            <w:tcW w:w="842" w:type="pct"/>
            <w:vAlign w:val="center"/>
          </w:tcPr>
          <w:p w14:paraId="48A57C63" w14:textId="77777777" w:rsidR="00676FD9" w:rsidRDefault="00000000">
            <w:pPr>
              <w:keepNext/>
              <w:jc w:val="center"/>
            </w:pPr>
            <w:r>
              <w:t>30.750,99</w:t>
            </w:r>
          </w:p>
        </w:tc>
        <w:tc>
          <w:tcPr>
            <w:tcW w:w="541" w:type="pct"/>
            <w:vAlign w:val="center"/>
          </w:tcPr>
          <w:p w14:paraId="0FA1B3B7" w14:textId="77777777" w:rsidR="00676FD9" w:rsidRDefault="00000000">
            <w:pPr>
              <w:keepNext/>
              <w:jc w:val="center"/>
            </w:pPr>
            <w:r>
              <w:t>141,2</w:t>
            </w:r>
          </w:p>
        </w:tc>
      </w:tr>
      <w:tr w:rsidR="00676FD9" w14:paraId="458C339C" w14:textId="77777777">
        <w:trPr>
          <w:trHeight w:val="542"/>
        </w:trPr>
        <w:tc>
          <w:tcPr>
            <w:tcW w:w="930" w:type="pct"/>
            <w:vAlign w:val="center"/>
          </w:tcPr>
          <w:p w14:paraId="22756B6D" w14:textId="77777777" w:rsidR="00676FD9" w:rsidRDefault="00000000">
            <w:pPr>
              <w:keepNext/>
              <w:jc w:val="center"/>
            </w:pPr>
            <w:r>
              <w:t>232</w:t>
            </w:r>
          </w:p>
        </w:tc>
        <w:tc>
          <w:tcPr>
            <w:tcW w:w="1718" w:type="pct"/>
            <w:vAlign w:val="center"/>
          </w:tcPr>
          <w:p w14:paraId="0DA700BA" w14:textId="77777777" w:rsidR="00676FD9" w:rsidRDefault="00000000">
            <w:pPr>
              <w:keepNext/>
              <w:jc w:val="center"/>
            </w:pPr>
            <w:r>
              <w:t>Obveze za materijalne rashode</w:t>
            </w:r>
          </w:p>
        </w:tc>
        <w:tc>
          <w:tcPr>
            <w:tcW w:w="967" w:type="pct"/>
            <w:vAlign w:val="center"/>
          </w:tcPr>
          <w:p w14:paraId="5AD3A806" w14:textId="77777777" w:rsidR="00676FD9" w:rsidRDefault="00000000">
            <w:pPr>
              <w:keepNext/>
              <w:jc w:val="center"/>
            </w:pPr>
            <w:r>
              <w:t>4.675,65</w:t>
            </w:r>
          </w:p>
        </w:tc>
        <w:tc>
          <w:tcPr>
            <w:tcW w:w="842" w:type="pct"/>
            <w:vAlign w:val="center"/>
          </w:tcPr>
          <w:p w14:paraId="04E1E0D3" w14:textId="77777777" w:rsidR="00676FD9" w:rsidRDefault="00000000">
            <w:pPr>
              <w:keepNext/>
              <w:jc w:val="center"/>
            </w:pPr>
            <w:r>
              <w:t>5.377,61</w:t>
            </w:r>
          </w:p>
        </w:tc>
        <w:tc>
          <w:tcPr>
            <w:tcW w:w="541" w:type="pct"/>
            <w:vAlign w:val="center"/>
          </w:tcPr>
          <w:p w14:paraId="687AAEAE" w14:textId="77777777" w:rsidR="00676FD9" w:rsidRDefault="00000000">
            <w:pPr>
              <w:keepNext/>
              <w:jc w:val="center"/>
            </w:pPr>
            <w:r>
              <w:t>115,0</w:t>
            </w:r>
          </w:p>
        </w:tc>
      </w:tr>
      <w:tr w:rsidR="00676FD9" w14:paraId="2760F4CB" w14:textId="77777777">
        <w:trPr>
          <w:trHeight w:val="542"/>
        </w:trPr>
        <w:tc>
          <w:tcPr>
            <w:tcW w:w="930" w:type="pct"/>
            <w:vAlign w:val="center"/>
          </w:tcPr>
          <w:p w14:paraId="2EA4BED1" w14:textId="77777777" w:rsidR="00676FD9" w:rsidRDefault="00000000">
            <w:pPr>
              <w:keepNext/>
              <w:jc w:val="center"/>
            </w:pPr>
            <w:r>
              <w:t>234</w:t>
            </w:r>
          </w:p>
        </w:tc>
        <w:tc>
          <w:tcPr>
            <w:tcW w:w="1718" w:type="pct"/>
            <w:vAlign w:val="center"/>
          </w:tcPr>
          <w:p w14:paraId="013914EC" w14:textId="77777777" w:rsidR="00676FD9" w:rsidRDefault="00000000">
            <w:pPr>
              <w:keepNext/>
              <w:jc w:val="center"/>
            </w:pPr>
            <w:r>
              <w:t>Obveze za financijske rashode</w:t>
            </w:r>
          </w:p>
        </w:tc>
        <w:tc>
          <w:tcPr>
            <w:tcW w:w="967" w:type="pct"/>
            <w:vAlign w:val="center"/>
          </w:tcPr>
          <w:p w14:paraId="05E44FAB" w14:textId="77777777" w:rsidR="00676FD9" w:rsidRDefault="00000000">
            <w:pPr>
              <w:keepNext/>
              <w:jc w:val="center"/>
            </w:pPr>
            <w:r>
              <w:t>298,62</w:t>
            </w:r>
          </w:p>
        </w:tc>
        <w:tc>
          <w:tcPr>
            <w:tcW w:w="842" w:type="pct"/>
            <w:vAlign w:val="center"/>
          </w:tcPr>
          <w:p w14:paraId="22D113DD" w14:textId="77777777" w:rsidR="00676FD9" w:rsidRDefault="00000000">
            <w:pPr>
              <w:keepNext/>
              <w:jc w:val="center"/>
            </w:pPr>
            <w:r>
              <w:t>0,00</w:t>
            </w:r>
          </w:p>
        </w:tc>
        <w:tc>
          <w:tcPr>
            <w:tcW w:w="541" w:type="pct"/>
            <w:vAlign w:val="center"/>
          </w:tcPr>
          <w:p w14:paraId="49F3C1DC" w14:textId="77777777" w:rsidR="00676FD9" w:rsidRDefault="00000000">
            <w:pPr>
              <w:keepNext/>
              <w:jc w:val="center"/>
            </w:pPr>
            <w:r>
              <w:t>0</w:t>
            </w:r>
          </w:p>
        </w:tc>
      </w:tr>
    </w:tbl>
    <w:p w14:paraId="4D9BE610" w14:textId="77777777" w:rsidR="00676FD9" w:rsidRDefault="00000000">
      <w:pPr>
        <w:jc w:val="center"/>
      </w:pPr>
      <w:r>
        <w:t> </w:t>
      </w:r>
    </w:p>
    <w:p w14:paraId="70D5D73D" w14:textId="77777777" w:rsidR="00676FD9" w:rsidRDefault="00676FD9"/>
    <w:p w14:paraId="56AF40C9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26B169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5422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79190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7E80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E110A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0900F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39113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724423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73DA8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A5497F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16388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41C70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40.980,17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3F231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30.065,17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F253B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73,4</w:t>
            </w:r>
          </w:p>
        </w:tc>
      </w:tr>
    </w:tbl>
    <w:p w14:paraId="3B1A46A5" w14:textId="77777777" w:rsidR="00676FD9" w:rsidRDefault="00676FD9">
      <w:pPr>
        <w:spacing w:after="0"/>
      </w:pPr>
    </w:p>
    <w:p w14:paraId="7A14FFD4" w14:textId="77777777" w:rsidR="00676FD9" w:rsidRDefault="00000000">
      <w:r>
        <w:t>Vlastiti izvori (šifra 9) – smanjeni su u odnosu na 1. siječnja 2025. za 26,6 % i iznose 30.065,17 EUR.</w:t>
      </w:r>
    </w:p>
    <w:p w14:paraId="12A76AB2" w14:textId="77777777" w:rsidR="00676FD9" w:rsidRDefault="00676FD9"/>
    <w:p w14:paraId="3BB4D9C0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7EFD78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25F3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C5B62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AAF97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F30C2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E7AE3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D2C6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578D8AE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D8DCD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05D2A7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i ispravak vlastitih izvora (šifre 911-912)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F4110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1FC7F8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15.218,82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476809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11.796,35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EED2C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</w:t>
            </w:r>
          </w:p>
        </w:tc>
      </w:tr>
    </w:tbl>
    <w:p w14:paraId="6C167231" w14:textId="77777777" w:rsidR="00676FD9" w:rsidRDefault="00676FD9">
      <w:pPr>
        <w:spacing w:after="0"/>
      </w:pPr>
    </w:p>
    <w:p w14:paraId="3427BD6F" w14:textId="77777777" w:rsidR="00676FD9" w:rsidRDefault="00000000">
      <w:r>
        <w:t>Vlastiti izvori i ispravak vlastitih izvora (šifra 91) – smanjeni su u odnosu na 1. siječnja 2025. za 22,5 % i iznose 11.796,35 EUR zbog provedenog godišnjeg obračuna ispravka vrijednosti koji umanjuje izvore vlasništva podskupine 911.</w:t>
      </w:r>
    </w:p>
    <w:p w14:paraId="739B1A12" w14:textId="77777777" w:rsidR="00676FD9" w:rsidRDefault="00676FD9"/>
    <w:p w14:paraId="20442112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7C9AF8B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5852E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32726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1DD4F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3E6F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014E2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DC77E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6744776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5BEA1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AF2171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2EF06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8A680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13.451,28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856DE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7.032,10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9385F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52,3</w:t>
            </w:r>
          </w:p>
        </w:tc>
      </w:tr>
    </w:tbl>
    <w:p w14:paraId="48A614B8" w14:textId="77777777" w:rsidR="00676FD9" w:rsidRDefault="00676FD9">
      <w:pPr>
        <w:spacing w:after="0"/>
      </w:pPr>
    </w:p>
    <w:p w14:paraId="2675B04F" w14:textId="77777777" w:rsidR="00676FD9" w:rsidRDefault="00000000">
      <w:r>
        <w:lastRenderedPageBreak/>
        <w:t>Višak / manjak prihoda  (šifra 922) - na kraju proračunske godine utvrđen je višak prihoda u ukupnom iznosu od 7.032,10 EUR. U 2025. godini nije bilo temelja za provođenje korekcije rezultata sukladno članku 82. Pravilnika o proračunskom računovodstvu i računskom planu.</w:t>
      </w:r>
    </w:p>
    <w:p w14:paraId="0BF99BE5" w14:textId="77777777" w:rsidR="00676FD9" w:rsidRDefault="00676FD9"/>
    <w:p w14:paraId="01DE67D4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2B4C425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1D601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BC1BB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3D37E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530D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0489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D52C0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52347C2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95B4C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5030BA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upravnih i administrativnih pristojbi, pristojbi po posebnim propisima i naknada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A194D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96E9F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12.310,07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5A6D2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11.236,72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DB70F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91,3</w:t>
            </w:r>
          </w:p>
        </w:tc>
      </w:tr>
    </w:tbl>
    <w:p w14:paraId="428C1633" w14:textId="77777777" w:rsidR="00676FD9" w:rsidRDefault="00676FD9">
      <w:pPr>
        <w:spacing w:after="0"/>
      </w:pPr>
    </w:p>
    <w:p w14:paraId="133C6C2F" w14:textId="77777777" w:rsidR="00676FD9" w:rsidRDefault="00000000">
      <w:r>
        <w:t>Obračunati prihodi poslovanja (šifra 96) - iznose 11.236,72 EUR i odnose se na nenaplaćena potraživanja od roditelja za sufinanciranje cijene usluge.</w:t>
      </w:r>
    </w:p>
    <w:p w14:paraId="100F0FC2" w14:textId="77777777" w:rsidR="00676FD9" w:rsidRDefault="00000000">
      <w:r>
        <w:t> </w:t>
      </w:r>
    </w:p>
    <w:p w14:paraId="2CDC404C" w14:textId="77777777" w:rsidR="00676FD9" w:rsidRDefault="00000000">
      <w:r>
        <w:t>Obvezne Bilješke uz Bilancu su:</w:t>
      </w:r>
    </w:p>
    <w:p w14:paraId="189B6DA4" w14:textId="77777777" w:rsidR="00676FD9" w:rsidRDefault="00000000">
      <w:r>
        <w:t>•         Popis ugovornih odnosa i slično koji uz ispunjenje određenih uvjeta, mogu postati obveza ili imovina (dana kreditna pisma, hipoteke i slično) – Na dan 31. prosinca 2025. godine Dječji vrtić „Balončić“ nema ugovornih odnosa i slično koji uz ispunjenje određenih uvjeta, mogu postati obveza ili imovina (dana kreditna pisma, hipoteke i slično).</w:t>
      </w:r>
    </w:p>
    <w:p w14:paraId="1DC9F1BD" w14:textId="77777777" w:rsidR="00676FD9" w:rsidRDefault="00000000">
      <w:r>
        <w:t>•         Popis sudskih sporova u tijeku - Na dan 31. prosinca 2025. godine Dječji vrtić „Balončić“ nema sudskih sporova u tijeku.</w:t>
      </w:r>
    </w:p>
    <w:p w14:paraId="674BAC3C" w14:textId="77777777" w:rsidR="00676FD9" w:rsidRDefault="00676FD9"/>
    <w:p w14:paraId="5D1B6C10" w14:textId="77777777" w:rsidR="00676FD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00D7BBB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76FD9" w14:paraId="181CA53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06736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457E3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C7BB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272DF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D9D9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4909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2F98D9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9E739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2845CF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AD057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79802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373.013,33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F6F0D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445.605,65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415E6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15E3490B" w14:textId="77777777" w:rsidR="00676FD9" w:rsidRDefault="00676FD9">
      <w:pPr>
        <w:spacing w:after="0"/>
      </w:pPr>
    </w:p>
    <w:p w14:paraId="4B75EF41" w14:textId="77777777" w:rsidR="00676FD9" w:rsidRDefault="00000000">
      <w:r>
        <w:t>Sukladno Pravilniku o proračunskom računovodstvu i računskom planu te uputama Ministarstva financija sastavlja se obrazac o rashodima prema funkcijskoj klasifikaciji. Funkcijska klasifikacija sadrži rashode (samo razred 3 i 4) prema njihovoj namjeni koji su preuzeti iz međunarodne klasifikacije funkcija države (COFOG) Ujedinjenih naroda – Klasifikacija rashoda u skladu s namjenom.</w:t>
      </w:r>
      <w:r>
        <w:br/>
        <w:t>Rashodi dječjeg vrtića Dječjeg vrtića „Balončić“ klasificiraju se pod funkciju 091 (predškolsko i osnovno obrazovanje), odnosno 0911 – Predškolsko obrazovanje.</w:t>
      </w:r>
    </w:p>
    <w:p w14:paraId="06687CAA" w14:textId="77777777" w:rsidR="00676FD9" w:rsidRDefault="00000000">
      <w:r>
        <w:t> </w:t>
      </w:r>
    </w:p>
    <w:p w14:paraId="71833662" w14:textId="77777777" w:rsidR="00676FD9" w:rsidRDefault="00676FD9"/>
    <w:p w14:paraId="51CA4962" w14:textId="77777777" w:rsidR="00676FD9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586E1123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76FD9" w14:paraId="1960BF2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45212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D34AA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A131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BD93D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9CF41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3E12202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18958" w14:textId="77777777" w:rsidR="00676FD9" w:rsidRDefault="00676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4EB075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4813F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6F3AC2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29.968,15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DFB65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67E5BC" w14:textId="77777777" w:rsidR="00676FD9" w:rsidRDefault="00676FD9">
      <w:pPr>
        <w:spacing w:after="0"/>
      </w:pPr>
    </w:p>
    <w:p w14:paraId="24E54347" w14:textId="77777777" w:rsidR="00676FD9" w:rsidRDefault="00000000">
      <w:r>
        <w:t>Stanje obveza na dan 1. siječnja 2025. godine (šifra V001) predstavlja nepodmirene obveze iz prethodne proračunske godine koje su prenesene u 2025. godinu. Ukupne obveze Dječjeg vrtića „Balončić“ na dan 1. siječnja 2025 godine iznosile su 29.968,15 EUR (šifra V001).</w:t>
      </w:r>
    </w:p>
    <w:p w14:paraId="0A52B671" w14:textId="77777777" w:rsidR="00676FD9" w:rsidRDefault="00676FD9"/>
    <w:p w14:paraId="222DB0A5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76FD9" w14:paraId="5BAC64D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E6822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DB10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E0B41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273AF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CEDD2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399CFB9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52D85" w14:textId="77777777" w:rsidR="00676FD9" w:rsidRDefault="00676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D047F7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5CA4A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E4097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445.722,26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0B42D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66C9025" w14:textId="77777777" w:rsidR="00676FD9" w:rsidRDefault="00676FD9">
      <w:pPr>
        <w:spacing w:after="0"/>
      </w:pPr>
    </w:p>
    <w:p w14:paraId="1DE2AF70" w14:textId="77777777" w:rsidR="00676FD9" w:rsidRDefault="00000000">
      <w:r>
        <w:t>Povećanje obveza u izvještajnom razdoblju iznosi 445.722,26 EUR (šifra V002).</w:t>
      </w:r>
    </w:p>
    <w:p w14:paraId="1C7126EB" w14:textId="77777777" w:rsidR="00676FD9" w:rsidRDefault="00000000">
      <w:r>
        <w:t>Obveze za rashode poslovanja (23) povećane su za 444.812,26 EUR. Obveze za nabavu nefinancijske imovine (24) povećane su za 910,00 EUR.</w:t>
      </w:r>
    </w:p>
    <w:p w14:paraId="3BEEC6EF" w14:textId="77777777" w:rsidR="00676FD9" w:rsidRDefault="00676FD9"/>
    <w:p w14:paraId="52529631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76FD9" w14:paraId="2AD9B5A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8A7B3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645F5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6B03A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39463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0625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1D9776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A2F17" w14:textId="77777777" w:rsidR="00676FD9" w:rsidRDefault="00676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D6F60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Podmirene 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6B6F9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66D76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436.773,23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21D37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69DD38C" w14:textId="77777777" w:rsidR="00676FD9" w:rsidRDefault="00676FD9">
      <w:pPr>
        <w:spacing w:after="0"/>
      </w:pPr>
    </w:p>
    <w:p w14:paraId="7FC98E5A" w14:textId="77777777" w:rsidR="00676FD9" w:rsidRDefault="00000000">
      <w:r>
        <w:t>Obveze su podmirene u iznosu od 436.773,23 EUR (V004).</w:t>
      </w:r>
    </w:p>
    <w:p w14:paraId="7267137F" w14:textId="77777777" w:rsidR="00676FD9" w:rsidRDefault="00676FD9"/>
    <w:p w14:paraId="7763D244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76FD9" w14:paraId="535FCA0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6608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2158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19B64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304CC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BEC29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001A24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D5F597" w14:textId="77777777" w:rsidR="00676FD9" w:rsidRDefault="00676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3B582D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2AAA4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90575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38.917,18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335F7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E84F25" w14:textId="77777777" w:rsidR="00676FD9" w:rsidRDefault="00676FD9">
      <w:pPr>
        <w:spacing w:after="0"/>
      </w:pPr>
    </w:p>
    <w:p w14:paraId="3C30F36B" w14:textId="77777777" w:rsidR="00676FD9" w:rsidRDefault="00000000">
      <w:r>
        <w:t>Stanje obveza na dan 31. prosinca 2025. godine iznosi 38.917,18 EUR (šifra V006).</w:t>
      </w:r>
    </w:p>
    <w:p w14:paraId="3CF721D4" w14:textId="77777777" w:rsidR="00676FD9" w:rsidRDefault="00676FD9"/>
    <w:p w14:paraId="6FD9A06C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76FD9" w14:paraId="3E0ED16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C4A58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CD63B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35B1F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B64E3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A5440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30C95D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50296" w14:textId="77777777" w:rsidR="00676FD9" w:rsidRDefault="00676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C112FA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1DC89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7633D5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F57D6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826D9E5" w14:textId="77777777" w:rsidR="00676FD9" w:rsidRDefault="00676FD9">
      <w:pPr>
        <w:spacing w:after="0"/>
      </w:pPr>
    </w:p>
    <w:p w14:paraId="4582081F" w14:textId="77777777" w:rsidR="00676FD9" w:rsidRDefault="00000000">
      <w:r>
        <w:t>Na kraju izvještajnog razdoblja, dječji vrtić Balončić nema dospjelih obveza.</w:t>
      </w:r>
    </w:p>
    <w:p w14:paraId="287E769D" w14:textId="77777777" w:rsidR="00676FD9" w:rsidRDefault="00676FD9"/>
    <w:p w14:paraId="16992759" w14:textId="77777777" w:rsidR="00676FD9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76FD9" w14:paraId="16CC7BA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751A9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46915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0164E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499B5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999C2" w14:textId="77777777" w:rsidR="00676F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6FD9" w14:paraId="3FCC4D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F5BED" w14:textId="77777777" w:rsidR="00676FD9" w:rsidRDefault="00676F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6672C9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E3AC5" w14:textId="77777777" w:rsidR="00676F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188C8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38.917,18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94C2E" w14:textId="77777777" w:rsidR="00676F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C0BBA9" w14:textId="77777777" w:rsidR="00676FD9" w:rsidRDefault="00676FD9">
      <w:pPr>
        <w:spacing w:after="0"/>
      </w:pPr>
    </w:p>
    <w:p w14:paraId="4BEBF1D3" w14:textId="77777777" w:rsidR="00676FD9" w:rsidRDefault="00000000">
      <w:r>
        <w:t>Stanje nedospjelih obveza na kraju izvještajnog razdoblja iznosi 38.917,18 EUR (V009), a odnose se na obveze za rashode poslovanja.</w:t>
      </w:r>
    </w:p>
    <w:p w14:paraId="35A904AB" w14:textId="77777777" w:rsidR="00676FD9" w:rsidRDefault="00000000">
      <w:r>
        <w:t>Dječji vrtić „Balončić“ na dan 31. prosinca 2025. godine nema obveza za nabavu nefinancijske imovine (šifra ND24) i obveza za financijsku imovinu (šifra ND dio 25,26).</w:t>
      </w:r>
    </w:p>
    <w:p w14:paraId="3024E5DF" w14:textId="77777777" w:rsidR="00676FD9" w:rsidRDefault="00676FD9"/>
    <w:sectPr w:rsidR="0067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D9"/>
    <w:rsid w:val="00054667"/>
    <w:rsid w:val="000D38E7"/>
    <w:rsid w:val="00676FD9"/>
    <w:rsid w:val="00947A45"/>
    <w:rsid w:val="00B9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B2AF"/>
  <w15:docId w15:val="{80898B3D-8B3A-48E4-8CB8-CFB235D8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3399</Words>
  <Characters>19379</Characters>
  <Application>Microsoft Office Word</Application>
  <DocSecurity>0</DocSecurity>
  <Lines>161</Lines>
  <Paragraphs>45</Paragraphs>
  <ScaleCrop>false</ScaleCrop>
  <Company/>
  <LinksUpToDate>false</LinksUpToDate>
  <CharactersWithSpaces>22733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Vinus</dc:creator>
  <cp:lastModifiedBy>Elijana Perković</cp:lastModifiedBy>
  <cp:revision>2</cp:revision>
  <dcterms:created xsi:type="dcterms:W3CDTF">2026-01-28T08:17:00Z</dcterms:created>
  <dcterms:modified xsi:type="dcterms:W3CDTF">2026-01-28T08:17:00Z</dcterms:modified>
</cp:coreProperties>
</file>