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72" w:rsidRDefault="008C4672" w:rsidP="008C4672">
      <w:pPr>
        <w:tabs>
          <w:tab w:val="left" w:pos="8070"/>
        </w:tabs>
        <w:jc w:val="both"/>
        <w:rPr>
          <w:b/>
          <w:bCs/>
        </w:rPr>
      </w:pPr>
      <w:r>
        <w:rPr>
          <w:b/>
          <w:bCs/>
        </w:rPr>
        <w:t>DJEČJI VRTIĆ „VRTULJAK MARČANA“</w:t>
      </w:r>
    </w:p>
    <w:p w:rsidR="008C4672" w:rsidRDefault="008C4672" w:rsidP="008C4672">
      <w:pPr>
        <w:tabs>
          <w:tab w:val="left" w:pos="5895"/>
        </w:tabs>
        <w:jc w:val="both"/>
        <w:rPr>
          <w:b/>
          <w:bCs/>
        </w:rPr>
      </w:pPr>
      <w:r>
        <w:rPr>
          <w:b/>
          <w:bCs/>
        </w:rPr>
        <w:t xml:space="preserve">MARČANA, Marčana 158                                    </w:t>
      </w:r>
    </w:p>
    <w:p w:rsidR="008C4672" w:rsidRDefault="008C4672" w:rsidP="008C4672">
      <w:pPr>
        <w:tabs>
          <w:tab w:val="left" w:pos="5895"/>
        </w:tabs>
        <w:jc w:val="both"/>
        <w:rPr>
          <w:b/>
          <w:bCs/>
        </w:rPr>
      </w:pPr>
    </w:p>
    <w:p w:rsidR="008C4672" w:rsidRDefault="008C4672" w:rsidP="008C4672">
      <w:pPr>
        <w:tabs>
          <w:tab w:val="left" w:pos="5895"/>
        </w:tabs>
        <w:jc w:val="both"/>
        <w:rPr>
          <w:b/>
          <w:bCs/>
        </w:rPr>
      </w:pPr>
      <w:r>
        <w:rPr>
          <w:b/>
          <w:bCs/>
        </w:rPr>
        <w:t>OIB    37830921242</w:t>
      </w:r>
    </w:p>
    <w:p w:rsidR="008C4672" w:rsidRDefault="008C4672" w:rsidP="008C4672">
      <w:pPr>
        <w:tabs>
          <w:tab w:val="left" w:pos="5895"/>
        </w:tabs>
        <w:rPr>
          <w:b/>
          <w:bCs/>
        </w:rPr>
      </w:pPr>
      <w:r>
        <w:rPr>
          <w:b/>
          <w:bCs/>
        </w:rPr>
        <w:t xml:space="preserve">RKP-a:  35597                                                                                  </w:t>
      </w:r>
    </w:p>
    <w:p w:rsidR="008C4672" w:rsidRDefault="008C4672" w:rsidP="008C4672">
      <w:pPr>
        <w:rPr>
          <w:b/>
          <w:bCs/>
        </w:rPr>
      </w:pPr>
    </w:p>
    <w:p w:rsidR="008C4672" w:rsidRDefault="008C4672" w:rsidP="008C4672">
      <w:pPr>
        <w:rPr>
          <w:b/>
          <w:bCs/>
        </w:rPr>
      </w:pPr>
      <w:r>
        <w:rPr>
          <w:b/>
          <w:bCs/>
        </w:rPr>
        <w:t xml:space="preserve">Marčana, </w:t>
      </w:r>
      <w:r w:rsidR="00BA1AE6">
        <w:rPr>
          <w:b/>
          <w:bCs/>
        </w:rPr>
        <w:t>30.</w:t>
      </w:r>
      <w:r w:rsidR="00F57B0F">
        <w:rPr>
          <w:b/>
          <w:bCs/>
        </w:rPr>
        <w:t xml:space="preserve"> ožujka</w:t>
      </w:r>
      <w:r w:rsidR="00EC3A9B">
        <w:rPr>
          <w:b/>
          <w:bCs/>
        </w:rPr>
        <w:t xml:space="preserve"> 202</w:t>
      </w:r>
      <w:r w:rsidR="007122DB">
        <w:rPr>
          <w:b/>
          <w:bCs/>
        </w:rPr>
        <w:t>6</w:t>
      </w:r>
      <w:r w:rsidR="00EC3A9B">
        <w:rPr>
          <w:b/>
          <w:bCs/>
        </w:rPr>
        <w:t>.</w:t>
      </w:r>
    </w:p>
    <w:p w:rsidR="008C4672" w:rsidRDefault="008C4672" w:rsidP="008C4672">
      <w:pPr>
        <w:rPr>
          <w:b/>
          <w:bCs/>
        </w:rPr>
      </w:pPr>
    </w:p>
    <w:p w:rsidR="008C4672" w:rsidRDefault="008C4672" w:rsidP="008C4672">
      <w:pPr>
        <w:rPr>
          <w:b/>
          <w:bCs/>
        </w:rPr>
      </w:pPr>
    </w:p>
    <w:p w:rsidR="008C4672" w:rsidRPr="008C4672" w:rsidRDefault="008C4672" w:rsidP="008C4672">
      <w:pPr>
        <w:jc w:val="both"/>
        <w:rPr>
          <w:bCs/>
        </w:rPr>
      </w:pPr>
      <w:r>
        <w:rPr>
          <w:bCs/>
        </w:rPr>
        <w:t xml:space="preserve">     </w:t>
      </w:r>
      <w:r w:rsidRPr="008C4672">
        <w:rPr>
          <w:bCs/>
        </w:rPr>
        <w:t xml:space="preserve">Na temelju članka 36. Zakona o ustanovama (Narodne novine broj: 76/93, 29/97, 47/99, 35/08. i 127/19.)  i članka </w:t>
      </w:r>
      <w:r w:rsidR="0099114A">
        <w:rPr>
          <w:bCs/>
        </w:rPr>
        <w:t>34</w:t>
      </w:r>
      <w:r w:rsidRPr="008C4672">
        <w:rPr>
          <w:bCs/>
        </w:rPr>
        <w:t xml:space="preserve">. Statuta </w:t>
      </w:r>
      <w:r w:rsidR="0099114A" w:rsidRPr="00995F69">
        <w:rPr>
          <w:color w:val="000000"/>
        </w:rPr>
        <w:t>Dječj</w:t>
      </w:r>
      <w:r w:rsidR="0099114A">
        <w:rPr>
          <w:color w:val="000000"/>
        </w:rPr>
        <w:t>eg</w:t>
      </w:r>
      <w:r w:rsidR="0099114A" w:rsidRPr="00995F69">
        <w:rPr>
          <w:color w:val="000000"/>
        </w:rPr>
        <w:t xml:space="preserve"> vrtić</w:t>
      </w:r>
      <w:r w:rsidR="0099114A">
        <w:rPr>
          <w:color w:val="000000"/>
        </w:rPr>
        <w:t>a</w:t>
      </w:r>
      <w:r w:rsidR="0099114A" w:rsidRPr="00995F69">
        <w:rPr>
          <w:color w:val="000000"/>
        </w:rPr>
        <w:t xml:space="preserve"> </w:t>
      </w:r>
      <w:r w:rsidR="0099114A">
        <w:rPr>
          <w:color w:val="000000"/>
        </w:rPr>
        <w:t>„</w:t>
      </w:r>
      <w:r w:rsidR="0099114A" w:rsidRPr="00995F69">
        <w:rPr>
          <w:color w:val="000000"/>
        </w:rPr>
        <w:t>Vrtuljak Marčana</w:t>
      </w:r>
      <w:r w:rsidR="0099114A">
        <w:rPr>
          <w:color w:val="000000"/>
        </w:rPr>
        <w:t xml:space="preserve">“ </w:t>
      </w:r>
      <w:r w:rsidRPr="008C4672">
        <w:rPr>
          <w:bCs/>
        </w:rPr>
        <w:t xml:space="preserve"> i članka 86. Zakona o proračunu ( Narodne novine broj 144/21.) Upravno vijeće </w:t>
      </w:r>
      <w:r w:rsidR="0099114A" w:rsidRPr="00995F69">
        <w:rPr>
          <w:color w:val="000000"/>
        </w:rPr>
        <w:t>Dječj</w:t>
      </w:r>
      <w:r w:rsidR="0099114A">
        <w:rPr>
          <w:color w:val="000000"/>
        </w:rPr>
        <w:t>eg</w:t>
      </w:r>
      <w:r w:rsidR="0099114A" w:rsidRPr="00995F69">
        <w:rPr>
          <w:color w:val="000000"/>
        </w:rPr>
        <w:t xml:space="preserve"> vrtić</w:t>
      </w:r>
      <w:r w:rsidR="0099114A">
        <w:rPr>
          <w:color w:val="000000"/>
        </w:rPr>
        <w:t>a</w:t>
      </w:r>
      <w:r w:rsidR="0099114A" w:rsidRPr="00995F69">
        <w:rPr>
          <w:color w:val="000000"/>
        </w:rPr>
        <w:t xml:space="preserve"> </w:t>
      </w:r>
      <w:r w:rsidR="0099114A">
        <w:rPr>
          <w:color w:val="000000"/>
        </w:rPr>
        <w:t>„</w:t>
      </w:r>
      <w:r w:rsidR="0099114A" w:rsidRPr="00995F69">
        <w:rPr>
          <w:color w:val="000000"/>
        </w:rPr>
        <w:t>Vrtuljak Marčana</w:t>
      </w:r>
      <w:r w:rsidR="0099114A">
        <w:rPr>
          <w:color w:val="000000"/>
        </w:rPr>
        <w:t xml:space="preserve">“ </w:t>
      </w:r>
      <w:r w:rsidR="0099114A" w:rsidRPr="008C4672">
        <w:rPr>
          <w:bCs/>
        </w:rPr>
        <w:t xml:space="preserve"> </w:t>
      </w:r>
      <w:r w:rsidRPr="008C4672">
        <w:rPr>
          <w:bCs/>
        </w:rPr>
        <w:t xml:space="preserve"> na svojoj</w:t>
      </w:r>
      <w:r w:rsidR="00FB4298">
        <w:rPr>
          <w:bCs/>
        </w:rPr>
        <w:t xml:space="preserve"> </w:t>
      </w:r>
      <w:r w:rsidRPr="008C4672">
        <w:rPr>
          <w:bCs/>
        </w:rPr>
        <w:t xml:space="preserve"> sjednici održanoj dana </w:t>
      </w:r>
      <w:r w:rsidR="00BA1AE6">
        <w:rPr>
          <w:bCs/>
        </w:rPr>
        <w:t>30. ožujka</w:t>
      </w:r>
      <w:r w:rsidR="009B6B5E">
        <w:rPr>
          <w:bCs/>
        </w:rPr>
        <w:t xml:space="preserve"> 202</w:t>
      </w:r>
      <w:r w:rsidR="007122DB">
        <w:rPr>
          <w:bCs/>
        </w:rPr>
        <w:t>6</w:t>
      </w:r>
      <w:r w:rsidR="009B6B5E">
        <w:rPr>
          <w:bCs/>
        </w:rPr>
        <w:t>.</w:t>
      </w:r>
      <w:r w:rsidRPr="008C4672">
        <w:rPr>
          <w:bCs/>
        </w:rPr>
        <w:t xml:space="preserve"> godine,  donijelo je:  </w:t>
      </w:r>
    </w:p>
    <w:p w:rsidR="005D2AB9" w:rsidRDefault="005D2AB9"/>
    <w:p w:rsidR="0099114A" w:rsidRDefault="0099114A"/>
    <w:p w:rsidR="0099114A" w:rsidRDefault="0099114A">
      <w:pPr>
        <w:rPr>
          <w:b/>
        </w:rPr>
      </w:pPr>
      <w:r w:rsidRPr="0099114A">
        <w:rPr>
          <w:b/>
        </w:rPr>
        <w:t>GODIŠNJI IZVJEŠTAJ O IZVRŠENJU FINANCIJSKOG PLANA ZA 202</w:t>
      </w:r>
      <w:r w:rsidR="007122DB">
        <w:rPr>
          <w:b/>
        </w:rPr>
        <w:t>5</w:t>
      </w:r>
      <w:r w:rsidRPr="0099114A">
        <w:rPr>
          <w:b/>
        </w:rPr>
        <w:t>. GODINU</w:t>
      </w:r>
    </w:p>
    <w:p w:rsidR="0099114A" w:rsidRDefault="0099114A">
      <w:pPr>
        <w:rPr>
          <w:b/>
        </w:rPr>
      </w:pPr>
    </w:p>
    <w:p w:rsidR="00FB4298" w:rsidRPr="0014142B" w:rsidRDefault="00FB4298" w:rsidP="00FB4298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14142B">
        <w:rPr>
          <w:rFonts w:ascii="Times New Roman" w:hAnsi="Times New Roman" w:cs="Times New Roman"/>
          <w:b/>
          <w:szCs w:val="24"/>
        </w:rPr>
        <w:t>Članak 1.</w:t>
      </w:r>
      <w:r w:rsidRPr="0014142B">
        <w:rPr>
          <w:rFonts w:ascii="Times New Roman" w:hAnsi="Times New Roman" w:cs="Times New Roman"/>
        </w:rPr>
        <w:tab/>
      </w:r>
    </w:p>
    <w:p w:rsidR="00FB4298" w:rsidRPr="0014142B" w:rsidRDefault="00FB4298" w:rsidP="00FB4298">
      <w:pPr>
        <w:jc w:val="both"/>
      </w:pPr>
      <w:r w:rsidRPr="0014142B">
        <w:t xml:space="preserve">          Utvrđuje se </w:t>
      </w:r>
      <w:r>
        <w:t>izvještaj o izvršenju financijskog plana  za 202</w:t>
      </w:r>
      <w:r w:rsidR="007122DB">
        <w:t>5</w:t>
      </w:r>
      <w:r w:rsidRPr="0014142B">
        <w:t>. godinu kako slijedi:</w:t>
      </w:r>
    </w:p>
    <w:p w:rsidR="00FB4298" w:rsidRPr="0014142B" w:rsidRDefault="00FB4298" w:rsidP="00FB4298">
      <w:pPr>
        <w:jc w:val="both"/>
        <w:rPr>
          <w:b/>
        </w:rPr>
      </w:pPr>
    </w:p>
    <w:tbl>
      <w:tblPr>
        <w:tblW w:w="10155" w:type="dxa"/>
        <w:tblInd w:w="-318" w:type="dxa"/>
        <w:tblLook w:val="04A0" w:firstRow="1" w:lastRow="0" w:firstColumn="1" w:lastColumn="0" w:noHBand="0" w:noVBand="1"/>
      </w:tblPr>
      <w:tblGrid>
        <w:gridCol w:w="10155"/>
      </w:tblGrid>
      <w:tr w:rsidR="00FB4298" w:rsidRPr="00EA2960" w:rsidTr="00FB4298">
        <w:trPr>
          <w:trHeight w:val="558"/>
        </w:trPr>
        <w:tc>
          <w:tcPr>
            <w:tcW w:w="1015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:rsidR="00FB4298" w:rsidRPr="00EA2960" w:rsidRDefault="00FB4298" w:rsidP="00FB4298">
            <w:pPr>
              <w:jc w:val="both"/>
              <w:rPr>
                <w:b/>
                <w:bCs/>
                <w:color w:val="000000"/>
              </w:rPr>
            </w:pPr>
            <w:r w:rsidRPr="00EA2960">
              <w:rPr>
                <w:b/>
                <w:bCs/>
                <w:color w:val="000000"/>
              </w:rPr>
              <w:t>Tablica 1.: Sažetak A. Računa prihoda i rashoda i B. Računa financiranja</w:t>
            </w:r>
          </w:p>
        </w:tc>
      </w:tr>
    </w:tbl>
    <w:p w:rsidR="0099114A" w:rsidRDefault="0099114A">
      <w:pPr>
        <w:rPr>
          <w:b/>
        </w:rPr>
      </w:pP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4380"/>
        <w:gridCol w:w="1460"/>
        <w:gridCol w:w="1360"/>
        <w:gridCol w:w="1360"/>
        <w:gridCol w:w="1120"/>
        <w:gridCol w:w="960"/>
        <w:gridCol w:w="960"/>
      </w:tblGrid>
      <w:tr w:rsidR="007122DB" w:rsidRPr="007122DB" w:rsidTr="007122DB">
        <w:trPr>
          <w:trHeight w:val="82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919.159,03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859.842,19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133,70%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93,55%</w:t>
            </w:r>
          </w:p>
        </w:tc>
      </w:tr>
      <w:tr w:rsidR="007122DB" w:rsidRPr="007122DB" w:rsidTr="007122DB">
        <w:trPr>
          <w:trHeight w:val="630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919.159,03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859.842,19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93,55%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829.391,00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917.300,00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855.885,20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133,34%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93,30%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300,50%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219,74%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133,72%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93,58%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-255,65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-140,97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-437,81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171,25%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310,57%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 / FINANCIRANJA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NETO ZADUŽIVANJE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B52EA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B52EA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7122DB" w:rsidRPr="007122DB" w:rsidTr="007122DB">
        <w:trPr>
          <w:trHeight w:val="780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7122DB" w:rsidRPr="007122DB" w:rsidTr="007122DB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REZULTAT GODINE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-255,65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-296,84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2DB" w:rsidRPr="007122DB" w:rsidRDefault="007122DB" w:rsidP="007122D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122D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:rsidR="003B0BA6" w:rsidRDefault="003B0BA6">
      <w:pPr>
        <w:rPr>
          <w:b/>
        </w:rPr>
        <w:sectPr w:rsidR="003B0B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82922" w:rsidRPr="00424ADB" w:rsidRDefault="00782922" w:rsidP="00782922">
      <w:pPr>
        <w:pStyle w:val="Tijelotek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424ADB">
        <w:rPr>
          <w:rFonts w:ascii="Times New Roman" w:hAnsi="Times New Roman" w:cs="Times New Roman"/>
          <w:b/>
          <w:sz w:val="18"/>
          <w:szCs w:val="18"/>
        </w:rPr>
        <w:lastRenderedPageBreak/>
        <w:t>RAČUN PRIHODA I RASHODA</w:t>
      </w:r>
    </w:p>
    <w:p w:rsidR="00782922" w:rsidRPr="00424ADB" w:rsidRDefault="00782922" w:rsidP="00782922">
      <w:pPr>
        <w:pStyle w:val="Tijeloteksta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4ADB">
        <w:rPr>
          <w:rFonts w:ascii="Times New Roman" w:hAnsi="Times New Roman" w:cs="Times New Roman"/>
          <w:b/>
          <w:sz w:val="18"/>
          <w:szCs w:val="18"/>
        </w:rPr>
        <w:t>Račun prihoda i rashoda prema ekonomskoj klasifikaciji</w:t>
      </w:r>
    </w:p>
    <w:p w:rsidR="00782922" w:rsidRPr="00424ADB" w:rsidRDefault="00782922" w:rsidP="00782922">
      <w:pPr>
        <w:rPr>
          <w:b/>
          <w:sz w:val="18"/>
          <w:szCs w:val="18"/>
        </w:rPr>
      </w:pPr>
    </w:p>
    <w:tbl>
      <w:tblPr>
        <w:tblW w:w="15240" w:type="dxa"/>
        <w:jc w:val="center"/>
        <w:tblLook w:val="04A0" w:firstRow="1" w:lastRow="0" w:firstColumn="1" w:lastColumn="0" w:noHBand="0" w:noVBand="1"/>
      </w:tblPr>
      <w:tblGrid>
        <w:gridCol w:w="7760"/>
        <w:gridCol w:w="1340"/>
        <w:gridCol w:w="1340"/>
        <w:gridCol w:w="1520"/>
        <w:gridCol w:w="1420"/>
        <w:gridCol w:w="927"/>
        <w:gridCol w:w="960"/>
      </w:tblGrid>
      <w:tr w:rsidR="00B52EAB" w:rsidRPr="00B52EAB" w:rsidTr="00B52EAB">
        <w:trPr>
          <w:trHeight w:val="5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B52EAB" w:rsidRPr="00B52EAB" w:rsidTr="00B52EAB">
        <w:trPr>
          <w:trHeight w:val="73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  <w:lang w:eastAsia="hr-HR"/>
              </w:rPr>
              <w:t>6</w:t>
            </w:r>
          </w:p>
        </w:tc>
      </w:tr>
      <w:tr w:rsidR="00B52EAB" w:rsidRPr="00B52EAB" w:rsidTr="00B52EAB">
        <w:trPr>
          <w:trHeight w:val="261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919.159,03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859.842,19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93,55%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13.897,00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21.914,00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21.339,90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257,95%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97,38%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21.339,90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257,95%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6361 Tekuće pomoći proračunskim korisnicima iz proračuna koji im nije nadležan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21.339,90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257,95%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480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108.719,03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105.600,98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114,73%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97,13%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105.600,98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114,73%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105.600,98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114,73%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35.300,00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96,84%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661 Prihodi od prodaje proizvoda i robe te pruženih usluga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6615 Prihodi od pruženih usluga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675.194,00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760.226,00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705.496,91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137,30%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92,80%</w:t>
            </w:r>
          </w:p>
        </w:tc>
      </w:tr>
      <w:tr w:rsidR="00B52EAB" w:rsidRPr="00B52EAB" w:rsidTr="00B52EAB">
        <w:trPr>
          <w:trHeight w:val="262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671 Prihodi iz nadležnog proračuna za financiranje redovne djelatnosti proračunskih korisnika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705.496,91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137,30%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6711 Prihodi iz nadležnog proračuna za financiranje rashoda poslovanja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705.496,91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137,30%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829.391,00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917.300,00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855.885,20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133,34%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93,30%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470.169,62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612.166,00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656.436,00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641.353,95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136,41%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97,70%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363.288,39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500.616,06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137,80%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363.288,39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500.616,06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137,80%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46.938,54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58.136,19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123,86%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46.938,54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58.136,19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123,86%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313 Doprinosi na plaće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59.942,69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82.601,70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137,80%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59.942,69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82.601,70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137,80%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160.657,11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209.323,00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248.842,97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201.476,39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125,41%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80,97%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25.457,46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32.475,18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127,57%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1.137,40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3.393,02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298,31%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18.817,13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21.076,65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112,01%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2.384,40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4.639,31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194,57%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3214 Ostale naknade troškova zaposlenima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3.118,53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3.366,20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107,94%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92.772,21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96.634,46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104,16%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3221 Uredski materijal i ostali materijalni rashodi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11.370,90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15.240,68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134,03%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3222 Materijal i sirovine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59.669,36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71.269,60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119,44%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1.365,51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1.202,13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88,04%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19.440,44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7.175,82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36,91%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3227 Službena, radna i zaštitna odjeća i obuća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926,00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1.746,23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188,58%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33.642,61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68.404,00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203,33%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3231 Usluge telefona, pošte i prijevoza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5.706,60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7.231,72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126,73%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5.322,41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8.809,56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165,52%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1.750,00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3.081,25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176,07%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974,54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2.509,77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257,53%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2.950,00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1.140,63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38,67%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2.966,03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8.860,41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298,73%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1.449,28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5.237,02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361,35%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826,75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1.455,16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176,01%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11.697,00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30.078,48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257,15%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8.784,83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3.962,75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45,11%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598,18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670,39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684,32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102,08%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2.487,49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1.355,08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54,48%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4.915,97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1.883,25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38,31%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112,80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40,10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35,55%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902,00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1.021,03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889,83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122,27%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87,15%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889,83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122,27%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604,06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889,83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147,31%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123,70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12.165,03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117,72%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110,59%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372 Ostale naknade građanima i kućanstvima iz proračuna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12.165,03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117,72%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3722 Naknade građanima i kućanstvima u naravi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12.165,03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117,72%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219,74%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219,74%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300,50%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3.625,00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247,86%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B52EAB" w:rsidRPr="00B52EAB" w:rsidTr="00B52EAB">
        <w:trPr>
          <w:trHeight w:val="255"/>
          <w:jc w:val="center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769,80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:rsidR="00782922" w:rsidRDefault="00782922" w:rsidP="00782922">
      <w:pPr>
        <w:rPr>
          <w:b/>
          <w:sz w:val="18"/>
          <w:szCs w:val="18"/>
        </w:rPr>
      </w:pPr>
    </w:p>
    <w:p w:rsidR="00EC3A9B" w:rsidRPr="00424ADB" w:rsidRDefault="00EC3A9B" w:rsidP="00782922">
      <w:pPr>
        <w:rPr>
          <w:b/>
          <w:sz w:val="18"/>
          <w:szCs w:val="18"/>
        </w:rPr>
      </w:pPr>
    </w:p>
    <w:p w:rsidR="00782922" w:rsidRPr="00424ADB" w:rsidRDefault="00782922" w:rsidP="00782922">
      <w:pPr>
        <w:rPr>
          <w:b/>
          <w:sz w:val="18"/>
          <w:szCs w:val="18"/>
        </w:rPr>
      </w:pPr>
      <w:r w:rsidRPr="00424ADB">
        <w:rPr>
          <w:b/>
          <w:sz w:val="18"/>
          <w:szCs w:val="18"/>
        </w:rPr>
        <w:t>Račun prihoda i rashoda prema izvorima financiranja</w:t>
      </w:r>
    </w:p>
    <w:p w:rsidR="00782922" w:rsidRDefault="00782922" w:rsidP="00782922">
      <w:pPr>
        <w:rPr>
          <w:b/>
        </w:rPr>
      </w:pP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7172"/>
        <w:gridCol w:w="1143"/>
        <w:gridCol w:w="1177"/>
        <w:gridCol w:w="1160"/>
        <w:gridCol w:w="1143"/>
        <w:gridCol w:w="1027"/>
        <w:gridCol w:w="945"/>
      </w:tblGrid>
      <w:tr w:rsidR="00B52EAB" w:rsidRPr="00B52EAB" w:rsidTr="00B52EAB">
        <w:trPr>
          <w:trHeight w:val="660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2025.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PRIHODI I RASHODI PREMA IZVORIMA FINANCIRANJA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919.159,03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859.842,19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133,70%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93,55%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642.278,00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719.990,00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665.260,91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129,47%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92,40%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479.074,81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642.278,00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719.990,00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665.260,91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138,86%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92,40%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1.5. SREDSTVA ZA FISKALNU ODRŽIVOST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DV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3.4. VLASTITI PRIHODI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108.719,03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105.600,98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114,73%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97,13%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4.4. PRIHODI ZA POSEBNE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BORAVAK RODITELJI I SOCIJALNI PROGRAM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108.719,03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105.600,98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97,13%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4.5. PRIHODI ZA POSEBNE NAMJENE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46.813,00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62.150,00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61.575,90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744,30%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99,08%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TEK.POMOĆI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1.791,60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32.916,00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2245,81%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5.2. TEKUĆA POMOĆ DRŽAVNI PRORAČUN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1.977,00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6.164,00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5.858,40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95,04%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5.3. TEKUĆE POMOĆI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JLP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(R)S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10.920,00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14.750,00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14.481,50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98,18%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5.4. TEKUĆA POMOĆI IZ PRORAČUNA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JLP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(R)S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6.481,43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15,43%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6.2. DONACIJE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SVEUKUPNI RASHODI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133,72%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93,58%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642.278,00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719.990,00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665.260,91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129,47%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92,40%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479.074,81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642.278,00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719.990,00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665.260,91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138,86%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92,40%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1.5. SREDSTVA ZA FISKALNU ODRŽIVOST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DV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34.746,00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28.816,83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95,10%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3.3. VLASTITI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28.816,83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3.4. VLASTITI PRIHODI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108.719,03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105.897,82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115,05%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97,41%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4.4. PRIHODI ZA POSEBNE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BORAVAK RODITELJI I SOCIJALNI PROGRAM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107.000,00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108.719,03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105.897,82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97,41%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lastRenderedPageBreak/>
              <w:t>Izvor 4.5. PRIHODI ZA POSEBNE NAMJENE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46.813,00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62.150,00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61.575,90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744,30%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99,08%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5.1.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TEK.POMOĆI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1.791,60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32.916,00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2245,81%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5.2. TEKUĆA POMOĆ DRŽAVNI PRORAČUN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1.977,00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6.164,00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5.858,40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95,04%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5.3. TEKUĆE POMOĆI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PK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JLP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(R)S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10.920,00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14.750,00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14.481,50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98,18%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 xml:space="preserve">Izvor 5.4. TEKUĆA POMOĆI IZ PRORAČUNA </w:t>
            </w:r>
            <w:proofErr w:type="spellStart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JLP</w:t>
            </w:r>
            <w:proofErr w:type="spellEnd"/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(R)S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6.481,43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15,43%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6.2. DONACIJE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9. Višak prihoda prethodne godine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35,54%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9.3. Višak prihoda prethodne godine vlastiti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B52EAB" w:rsidRPr="00B52EAB" w:rsidTr="00B52EAB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 9.4. Višak prethodne godine namjenski prihodi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396,62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right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B52EAB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0,00%</w:t>
            </w:r>
          </w:p>
        </w:tc>
      </w:tr>
    </w:tbl>
    <w:p w:rsidR="00B52EAB" w:rsidRDefault="00B52EAB" w:rsidP="00782922">
      <w:pPr>
        <w:rPr>
          <w:b/>
        </w:rPr>
      </w:pPr>
    </w:p>
    <w:p w:rsidR="00782922" w:rsidRDefault="00782922" w:rsidP="00782922">
      <w:pPr>
        <w:rPr>
          <w:b/>
        </w:rPr>
      </w:pPr>
      <w:r>
        <w:rPr>
          <w:b/>
        </w:rPr>
        <w:t>Rashodi prema funkcijskoj klasifikaciji</w:t>
      </w:r>
    </w:p>
    <w:p w:rsidR="00782922" w:rsidRDefault="00782922" w:rsidP="00782922">
      <w:pPr>
        <w:rPr>
          <w:b/>
        </w:rPr>
      </w:pPr>
    </w:p>
    <w:tbl>
      <w:tblPr>
        <w:tblW w:w="13989" w:type="dxa"/>
        <w:tblInd w:w="93" w:type="dxa"/>
        <w:tblLook w:val="04A0" w:firstRow="1" w:lastRow="0" w:firstColumn="1" w:lastColumn="0" w:noHBand="0" w:noVBand="1"/>
      </w:tblPr>
      <w:tblGrid>
        <w:gridCol w:w="5685"/>
        <w:gridCol w:w="1418"/>
        <w:gridCol w:w="1559"/>
        <w:gridCol w:w="1217"/>
        <w:gridCol w:w="1417"/>
        <w:gridCol w:w="1276"/>
        <w:gridCol w:w="1417"/>
      </w:tblGrid>
      <w:tr w:rsidR="00B52EAB" w:rsidRPr="00B52EAB" w:rsidTr="00F57B0F">
        <w:trPr>
          <w:trHeight w:val="3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Račun/Opis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Izvršenje 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Indeks 4/1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Indeks 4/3</w:t>
            </w:r>
          </w:p>
        </w:tc>
      </w:tr>
      <w:tr w:rsidR="00B52EAB" w:rsidRPr="00B52EAB" w:rsidTr="00F57B0F">
        <w:trPr>
          <w:trHeight w:val="6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B52EAB" w:rsidRDefault="00B52EAB" w:rsidP="00B52EA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B52EAB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</w:pPr>
            <w:r w:rsidRPr="00F57B0F"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</w:pPr>
            <w:r w:rsidRPr="00F57B0F"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</w:pPr>
            <w:r w:rsidRPr="00F57B0F"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</w:pPr>
            <w:r w:rsidRPr="00F57B0F"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</w:pPr>
            <w:r w:rsidRPr="00F57B0F"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52EAB" w:rsidRPr="00F57B0F" w:rsidRDefault="00B52EAB" w:rsidP="00B52EAB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</w:pPr>
            <w:r w:rsidRPr="00F57B0F">
              <w:rPr>
                <w:rFonts w:ascii="Arial" w:hAnsi="Arial" w:cs="Arial"/>
                <w:bCs/>
                <w:i/>
                <w:sz w:val="14"/>
                <w:szCs w:val="14"/>
                <w:lang w:eastAsia="hr-HR"/>
              </w:rPr>
              <w:t>6</w:t>
            </w:r>
          </w:p>
        </w:tc>
      </w:tr>
      <w:tr w:rsidR="00B52EAB" w:rsidRPr="00B52EAB" w:rsidTr="00504FE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Funkcijska klasifikacija  SVEUKUPNI RASHODI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133,72%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93,58%</w:t>
            </w:r>
          </w:p>
        </w:tc>
      </w:tr>
      <w:tr w:rsidR="00B52EAB" w:rsidRPr="00B52EAB" w:rsidTr="00504FE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Funkcijska klasifikacija 09 Obrazovanje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133,72%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93,58%</w:t>
            </w:r>
          </w:p>
        </w:tc>
      </w:tr>
      <w:tr w:rsidR="00B52EAB" w:rsidRPr="00B52EAB" w:rsidTr="00F57B0F">
        <w:trPr>
          <w:trHeight w:val="29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EAB" w:rsidRPr="00771227" w:rsidRDefault="00B52EAB" w:rsidP="00B52EA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Funkcijska klasifikacija 091 Predškolsko i osnovno obrazovanje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622.253,34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796.391,00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891.300,00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832.875,60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133,85%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93,45%</w:t>
            </w:r>
          </w:p>
        </w:tc>
      </w:tr>
      <w:tr w:rsidR="00B52EAB" w:rsidRPr="00B52EAB" w:rsidTr="00F57B0F">
        <w:trPr>
          <w:trHeight w:val="28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2EAB" w:rsidRPr="00771227" w:rsidRDefault="00B52EAB" w:rsidP="00B52EAB">
            <w:pPr>
              <w:suppressAutoHyphens w:val="0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Funkcijska klasifikacija 096 Dodatne usluge u obrazovanju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21.097,34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color w:val="000000"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129,90%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EAB" w:rsidRPr="00771227" w:rsidRDefault="00B52EAB" w:rsidP="00B52EAB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97,87%</w:t>
            </w:r>
          </w:p>
        </w:tc>
      </w:tr>
    </w:tbl>
    <w:p w:rsidR="00D91344" w:rsidRDefault="00D91344" w:rsidP="00782922">
      <w:pPr>
        <w:rPr>
          <w:b/>
        </w:rPr>
      </w:pPr>
    </w:p>
    <w:p w:rsidR="00782922" w:rsidRPr="007F24B6" w:rsidRDefault="00782922" w:rsidP="0078292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F24B6">
        <w:rPr>
          <w:rFonts w:ascii="Times New Roman" w:hAnsi="Times New Roman" w:cs="Times New Roman"/>
          <w:b/>
          <w:sz w:val="24"/>
          <w:szCs w:val="24"/>
        </w:rPr>
        <w:t>RAČUN ZADUŽIVANJA / FINANCIRANJA</w:t>
      </w:r>
    </w:p>
    <w:p w:rsidR="00782922" w:rsidRPr="007F24B6" w:rsidRDefault="00782922" w:rsidP="00782922">
      <w:pPr>
        <w:rPr>
          <w:b/>
        </w:rPr>
      </w:pPr>
    </w:p>
    <w:p w:rsidR="00782922" w:rsidRDefault="00782922" w:rsidP="00782922">
      <w:pPr>
        <w:rPr>
          <w:b/>
        </w:rPr>
      </w:pPr>
      <w:r>
        <w:rPr>
          <w:b/>
        </w:rPr>
        <w:t>Račun financiranja prema ekonomskoj klasifikaciji</w:t>
      </w:r>
    </w:p>
    <w:p w:rsidR="00782922" w:rsidRDefault="00782922" w:rsidP="00782922">
      <w:pPr>
        <w:rPr>
          <w:b/>
        </w:rPr>
      </w:pPr>
    </w:p>
    <w:tbl>
      <w:tblPr>
        <w:tblW w:w="13296" w:type="dxa"/>
        <w:tblInd w:w="93" w:type="dxa"/>
        <w:tblLook w:val="04A0" w:firstRow="1" w:lastRow="0" w:firstColumn="1" w:lastColumn="0" w:noHBand="0" w:noVBand="1"/>
      </w:tblPr>
      <w:tblGrid>
        <w:gridCol w:w="6850"/>
        <w:gridCol w:w="1073"/>
        <w:gridCol w:w="1220"/>
        <w:gridCol w:w="1160"/>
        <w:gridCol w:w="1073"/>
        <w:gridCol w:w="960"/>
        <w:gridCol w:w="960"/>
      </w:tblGrid>
      <w:tr w:rsidR="00D91344" w:rsidRPr="00D91344" w:rsidTr="00F57B0F">
        <w:trPr>
          <w:trHeight w:val="257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D91344" w:rsidRPr="00F57B0F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F57B0F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D91344" w:rsidRPr="00D91344" w:rsidTr="00D91344">
        <w:trPr>
          <w:trHeight w:val="2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sz w:val="18"/>
                <w:szCs w:val="18"/>
                <w:lang w:eastAsia="hr-HR"/>
              </w:rPr>
              <w:t>B. RAČUN ZADUŽIVANJA FINANCIRANJA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Cs/>
                <w:i/>
                <w:sz w:val="18"/>
                <w:szCs w:val="18"/>
                <w:lang w:eastAsia="hr-HR"/>
              </w:rPr>
              <w:t>6</w:t>
            </w:r>
          </w:p>
        </w:tc>
      </w:tr>
      <w:tr w:rsidR="00D91344" w:rsidRPr="00D91344" w:rsidTr="00D91344">
        <w:trPr>
          <w:trHeight w:val="2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KORIŠTENJE SREDSTAVA IZ PRETHODNIH GODINA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-437,81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D91344" w:rsidRPr="00D91344" w:rsidTr="00D91344">
        <w:trPr>
          <w:trHeight w:val="2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4. Prihodi za posebne namjene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-437,81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91344" w:rsidRPr="00D91344" w:rsidTr="00F57B0F">
        <w:trPr>
          <w:trHeight w:val="60"/>
        </w:trPr>
        <w:tc>
          <w:tcPr>
            <w:tcW w:w="6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 xml:space="preserve">4.4. Prihodi za posebne namjene sufinanciranje boravka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-437,81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91344" w:rsidRPr="00D91344" w:rsidTr="00D91344">
        <w:trPr>
          <w:trHeight w:val="2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9. Višak prihoda prethodne godine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D91344" w:rsidRPr="00D91344" w:rsidTr="00D91344">
        <w:trPr>
          <w:trHeight w:val="255"/>
        </w:trPr>
        <w:tc>
          <w:tcPr>
            <w:tcW w:w="6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9.3. Višak prihoda prethodne godine vlastiti prihodi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344" w:rsidRPr="00771227" w:rsidRDefault="00D91344" w:rsidP="00D91344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:rsidR="00DE197B" w:rsidRDefault="00DE197B" w:rsidP="00782922"/>
    <w:p w:rsidR="00DE197B" w:rsidRDefault="00DE197B" w:rsidP="00782922">
      <w:r>
        <w:t>Izvršenje po orga</w:t>
      </w:r>
      <w:r w:rsidR="00F57B0F">
        <w:t>n</w:t>
      </w:r>
      <w:r>
        <w:t>izacijskoj klasifikaciji</w:t>
      </w:r>
    </w:p>
    <w:p w:rsidR="00DE197B" w:rsidRDefault="00DE197B" w:rsidP="00782922"/>
    <w:tbl>
      <w:tblPr>
        <w:tblW w:w="13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137"/>
        <w:gridCol w:w="517"/>
        <w:gridCol w:w="5013"/>
        <w:gridCol w:w="1137"/>
        <w:gridCol w:w="1422"/>
        <w:gridCol w:w="1413"/>
        <w:gridCol w:w="827"/>
      </w:tblGrid>
      <w:tr w:rsidR="00DE197B" w:rsidRPr="00DE197B" w:rsidTr="00DE197B">
        <w:trPr>
          <w:trHeight w:val="255"/>
        </w:trPr>
        <w:tc>
          <w:tcPr>
            <w:tcW w:w="3134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proofErr w:type="spellStart"/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RGP</w:t>
            </w:r>
            <w:proofErr w:type="spellEnd"/>
          </w:p>
        </w:tc>
        <w:tc>
          <w:tcPr>
            <w:tcW w:w="5667" w:type="dxa"/>
            <w:gridSpan w:val="3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37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422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413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709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Indeks 3/2</w:t>
            </w:r>
          </w:p>
        </w:tc>
      </w:tr>
      <w:tr w:rsidR="00DE197B" w:rsidRPr="00DE197B" w:rsidTr="00DE197B">
        <w:trPr>
          <w:trHeight w:val="255"/>
        </w:trPr>
        <w:tc>
          <w:tcPr>
            <w:tcW w:w="3134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67" w:type="dxa"/>
            <w:gridSpan w:val="3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7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22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3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09" w:type="dxa"/>
            <w:shd w:val="clear" w:color="000000" w:fill="969696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DE197B" w:rsidRPr="00DE197B" w:rsidTr="00DE197B">
        <w:trPr>
          <w:trHeight w:val="255"/>
        </w:trPr>
        <w:tc>
          <w:tcPr>
            <w:tcW w:w="3134" w:type="dxa"/>
            <w:shd w:val="clear" w:color="000000" w:fill="C0C0C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667" w:type="dxa"/>
            <w:gridSpan w:val="3"/>
            <w:shd w:val="clear" w:color="000000" w:fill="C0C0C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137" w:type="dxa"/>
            <w:shd w:val="clear" w:color="000000" w:fill="C0C0C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422" w:type="dxa"/>
            <w:shd w:val="clear" w:color="000000" w:fill="C0C0C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413" w:type="dxa"/>
            <w:shd w:val="clear" w:color="000000" w:fill="C0C0C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709" w:type="dxa"/>
            <w:shd w:val="clear" w:color="000000" w:fill="C0C0C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93,58%</w:t>
            </w:r>
          </w:p>
        </w:tc>
      </w:tr>
      <w:tr w:rsidR="00DE197B" w:rsidRPr="00DE197B" w:rsidTr="00DE197B">
        <w:trPr>
          <w:trHeight w:val="255"/>
        </w:trPr>
        <w:tc>
          <w:tcPr>
            <w:tcW w:w="3271" w:type="dxa"/>
            <w:gridSpan w:val="2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</w:t>
            </w:r>
          </w:p>
        </w:tc>
        <w:tc>
          <w:tcPr>
            <w:tcW w:w="517" w:type="dxa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001</w:t>
            </w:r>
          </w:p>
        </w:tc>
        <w:tc>
          <w:tcPr>
            <w:tcW w:w="5013" w:type="dxa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</w:t>
            </w:r>
          </w:p>
        </w:tc>
        <w:tc>
          <w:tcPr>
            <w:tcW w:w="1137" w:type="dxa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422" w:type="dxa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413" w:type="dxa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709" w:type="dxa"/>
            <w:shd w:val="clear" w:color="000000" w:fill="000080"/>
            <w:noWrap/>
            <w:vAlign w:val="bottom"/>
            <w:hideMark/>
          </w:tcPr>
          <w:p w:rsidR="00DE197B" w:rsidRPr="00DE197B" w:rsidRDefault="00DE197B" w:rsidP="00DE197B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DE197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93,58%</w:t>
            </w:r>
          </w:p>
        </w:tc>
      </w:tr>
    </w:tbl>
    <w:p w:rsidR="00DE197B" w:rsidRDefault="00DE197B" w:rsidP="00782922"/>
    <w:p w:rsidR="00782922" w:rsidRDefault="00782922" w:rsidP="00782922">
      <w:pPr>
        <w:pStyle w:val="Tijeloteksta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II. POSEBNI DIO </w:t>
      </w:r>
    </w:p>
    <w:p w:rsidR="00782922" w:rsidRDefault="00782922" w:rsidP="00782922">
      <w:pPr>
        <w:pStyle w:val="Tijeloteksta"/>
        <w:jc w:val="both"/>
        <w:rPr>
          <w:rFonts w:ascii="Times New Roman" w:hAnsi="Times New Roman" w:cs="Times New Roman"/>
          <w:b/>
          <w:szCs w:val="24"/>
        </w:rPr>
      </w:pPr>
    </w:p>
    <w:p w:rsidR="00782922" w:rsidRPr="0014142B" w:rsidRDefault="00782922" w:rsidP="00782922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14142B">
        <w:rPr>
          <w:rFonts w:ascii="Times New Roman" w:hAnsi="Times New Roman" w:cs="Times New Roman"/>
          <w:b/>
          <w:szCs w:val="24"/>
        </w:rPr>
        <w:t>Članak 2.</w:t>
      </w:r>
    </w:p>
    <w:p w:rsidR="00782922" w:rsidRPr="0014142B" w:rsidRDefault="00782922" w:rsidP="00782922">
      <w:pPr>
        <w:tabs>
          <w:tab w:val="left" w:pos="5025"/>
        </w:tabs>
      </w:pPr>
      <w:r w:rsidRPr="0014142B">
        <w:tab/>
      </w:r>
    </w:p>
    <w:p w:rsidR="00782922" w:rsidRDefault="00782922" w:rsidP="00782922">
      <w:pPr>
        <w:jc w:val="both"/>
      </w:pPr>
      <w:r>
        <w:t xml:space="preserve">        Posebni dio Godišnjeg izvještaja o izvršenju financijskog plana  za 202</w:t>
      </w:r>
      <w:r w:rsidR="00F57B0F">
        <w:t>5</w:t>
      </w:r>
      <w:r>
        <w:t>. godinu po programskoj, ekonomskoj klasifikaciji i izvorima financiranja:</w:t>
      </w:r>
    </w:p>
    <w:p w:rsidR="00782922" w:rsidRDefault="00782922">
      <w:pPr>
        <w:rPr>
          <w:b/>
        </w:rPr>
      </w:pPr>
    </w:p>
    <w:tbl>
      <w:tblPr>
        <w:tblW w:w="130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7010"/>
        <w:gridCol w:w="1239"/>
        <w:gridCol w:w="1265"/>
        <w:gridCol w:w="1117"/>
        <w:gridCol w:w="927"/>
      </w:tblGrid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Organizacijska klasifikacija</w:t>
            </w:r>
          </w:p>
        </w:tc>
        <w:tc>
          <w:tcPr>
            <w:tcW w:w="1239" w:type="dxa"/>
            <w:vMerge w:val="restart"/>
            <w:shd w:val="clear" w:color="auto" w:fill="auto"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265" w:type="dxa"/>
            <w:vMerge w:val="restart"/>
            <w:shd w:val="clear" w:color="auto" w:fill="auto"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Tekući plan 2025</w:t>
            </w:r>
          </w:p>
        </w:tc>
        <w:tc>
          <w:tcPr>
            <w:tcW w:w="1112" w:type="dxa"/>
            <w:vMerge w:val="restart"/>
            <w:shd w:val="clear" w:color="auto" w:fill="auto"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Indeks 3/2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Izvori</w:t>
            </w:r>
          </w:p>
        </w:tc>
        <w:tc>
          <w:tcPr>
            <w:tcW w:w="1239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239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65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112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54" w:type="dxa"/>
            <w:vMerge/>
            <w:vAlign w:val="center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i/>
                <w:iCs/>
                <w:sz w:val="18"/>
                <w:szCs w:val="18"/>
                <w:lang w:eastAsia="hr-HR"/>
              </w:rPr>
              <w:t>4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UKUPNO RASHODI I IZDATCI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93,58%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9999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RAZDJEL 001 RASHODI</w:t>
            </w:r>
          </w:p>
        </w:tc>
        <w:tc>
          <w:tcPr>
            <w:tcW w:w="1239" w:type="dxa"/>
            <w:shd w:val="clear" w:color="000000" w:fill="9999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265" w:type="dxa"/>
            <w:shd w:val="clear" w:color="000000" w:fill="9999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112" w:type="dxa"/>
            <w:shd w:val="clear" w:color="000000" w:fill="9999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854" w:type="dxa"/>
            <w:shd w:val="clear" w:color="000000" w:fill="9999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93,58%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000000" w:fill="FF9900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3020</w:t>
            </w:r>
          </w:p>
        </w:tc>
        <w:tc>
          <w:tcPr>
            <w:tcW w:w="7010" w:type="dxa"/>
            <w:shd w:val="clear" w:color="000000" w:fill="FF9900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Proračunski korisnik: Proračunski korisnik </w:t>
            </w:r>
            <w:proofErr w:type="spellStart"/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DV</w:t>
            </w:r>
            <w:proofErr w:type="spellEnd"/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Vrtuljak Marčana 35597</w:t>
            </w:r>
          </w:p>
        </w:tc>
        <w:tc>
          <w:tcPr>
            <w:tcW w:w="1239" w:type="dxa"/>
            <w:shd w:val="clear" w:color="000000" w:fill="FF9900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831.391,00</w:t>
            </w:r>
          </w:p>
        </w:tc>
        <w:tc>
          <w:tcPr>
            <w:tcW w:w="1265" w:type="dxa"/>
            <w:shd w:val="clear" w:color="000000" w:fill="FF9900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919.300,00</w:t>
            </w:r>
          </w:p>
        </w:tc>
        <w:tc>
          <w:tcPr>
            <w:tcW w:w="1112" w:type="dxa"/>
            <w:shd w:val="clear" w:color="000000" w:fill="FF9900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854" w:type="dxa"/>
            <w:shd w:val="clear" w:color="000000" w:fill="FF9900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93,58%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A100001</w:t>
            </w:r>
          </w:p>
        </w:tc>
        <w:tc>
          <w:tcPr>
            <w:tcW w:w="701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Administrativno, stručno i tehničko osoblje</w:t>
            </w:r>
          </w:p>
        </w:tc>
        <w:tc>
          <w:tcPr>
            <w:tcW w:w="1239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783.589,00</w:t>
            </w:r>
          </w:p>
        </w:tc>
        <w:tc>
          <w:tcPr>
            <w:tcW w:w="1265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872.519,00</w:t>
            </w:r>
          </w:p>
        </w:tc>
        <w:tc>
          <w:tcPr>
            <w:tcW w:w="1112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812.347,18</w:t>
            </w:r>
          </w:p>
        </w:tc>
        <w:tc>
          <w:tcPr>
            <w:tcW w:w="854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93,10%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633.778,00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706.490,00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648.808,38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91,84%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633.778,00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706.490,00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648.808,38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91,84%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579.250,00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616.200,00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601.117,95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97,55%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466.861,58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58.136,19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76.120,18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54.528,00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90.290,00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47.690,43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52,82%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21.076,65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1.916,25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4.419,19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lastRenderedPageBreak/>
              <w:t>3225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3.841,70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2.856,00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2.509,77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1.727,62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1.460,00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1.883,25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104.187,00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104.906,03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103.196,33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98,37%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4.4. PRIHODI ZA POSEBNE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BORAVAK RODITELJI I SOCIJALNI PROGRAM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104.187,00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104.906,03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103.196,33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98,37%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101.285,00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101.885,00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97.911,70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96,10%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3.393,02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2.723,06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3.366,20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10.162,06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23.874,40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1.086,46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3.334,12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3227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Službena, radna i zaštitna odjeća i obuća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1.746,23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6.646,72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5.953,56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2.012,50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2.860,41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2.981,64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1.455,16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24.236,66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684,32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1.355,08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40,10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902,00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1.021,03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889,83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87,15%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889,83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219,74%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3.625,00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769,80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45.324,00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60.682,00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60.201,50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99,21%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lastRenderedPageBreak/>
              <w:t xml:space="preserve">Izvor 5.1.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TEK.POMOĆI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DRŽAVNI PRORAČUN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32.916,00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32.916,00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40.236,00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33.754,48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6.481,52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5.2. TEKUĆA POMOĆ DRŽAVNI PRORAČUN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5.696,00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5.484,00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96,28%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1.488,00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5.696,00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5.484,00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96,28%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5.484,00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5.3. TEKUĆE POMOĆI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JLP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(R)S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10.920,00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14.750,00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14.481,50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98,18%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10.920,00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14.750,00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14.481,50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98,18%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14.481,50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 DONACIJE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6.2. DONACIJE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 Višak prihoda prethodne godine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9.3. Višak prihoda prethodne godine vlastiti prihodi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140,97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A100002</w:t>
            </w:r>
          </w:p>
        </w:tc>
        <w:tc>
          <w:tcPr>
            <w:tcW w:w="701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Božićno darivanje predškolske djece</w:t>
            </w:r>
          </w:p>
        </w:tc>
        <w:tc>
          <w:tcPr>
            <w:tcW w:w="1239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10.313,00</w:t>
            </w:r>
          </w:p>
        </w:tc>
        <w:tc>
          <w:tcPr>
            <w:tcW w:w="1265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16.063,00</w:t>
            </w:r>
          </w:p>
        </w:tc>
        <w:tc>
          <w:tcPr>
            <w:tcW w:w="1112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18.283,99</w:t>
            </w:r>
          </w:p>
        </w:tc>
        <w:tc>
          <w:tcPr>
            <w:tcW w:w="854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113,83%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16.452,53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121,87%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OPĆI PRIHODI  I PRIMICI   OPĆINA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8.500,00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16.452,53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121,87%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4.287,50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171,50%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4.287,50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12.165,03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110,59%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12.165,03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1.813,00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2.563,00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1.831,46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71,46%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4.4. PRIHODI ZA POSEBNE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BORAVAK RODITELJI I SOCIJALNI PROGRAM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1.813,00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2.563,00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1.831,46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71,46%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1.813,00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2.563,00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1.831,46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71,46%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68,75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1.140,63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527,76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94,32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A100003</w:t>
            </w:r>
          </w:p>
        </w:tc>
        <w:tc>
          <w:tcPr>
            <w:tcW w:w="701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Aktivnost: Provođenje programa </w:t>
            </w:r>
            <w:proofErr w:type="spellStart"/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predškole</w:t>
            </w:r>
            <w:proofErr w:type="spellEnd"/>
          </w:p>
        </w:tc>
        <w:tc>
          <w:tcPr>
            <w:tcW w:w="1239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1.039,00</w:t>
            </w:r>
          </w:p>
        </w:tc>
        <w:tc>
          <w:tcPr>
            <w:tcW w:w="1265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1.268,00</w:t>
            </w:r>
          </w:p>
        </w:tc>
        <w:tc>
          <w:tcPr>
            <w:tcW w:w="1112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659,43</w:t>
            </w:r>
          </w:p>
        </w:tc>
        <w:tc>
          <w:tcPr>
            <w:tcW w:w="854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52,01%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285,03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35,63%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4.4. PRIHODI ZA POSEBNE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BORAVAK RODITELJI I SOCIJALNI PROGRAM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285,03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35,63%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550,00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35,63%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285,03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468,00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374,40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5.2. TEKUĆA POMOĆ DRŽAVNI PRORAČUN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468,00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374,40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80,00%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489,00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468,00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374,40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374,40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A100004</w:t>
            </w:r>
          </w:p>
        </w:tc>
        <w:tc>
          <w:tcPr>
            <w:tcW w:w="701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Provođenje programa zavičajne nastave</w:t>
            </w:r>
          </w:p>
        </w:tc>
        <w:tc>
          <w:tcPr>
            <w:tcW w:w="1239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1265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1112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1.585,00</w:t>
            </w:r>
          </w:p>
        </w:tc>
        <w:tc>
          <w:tcPr>
            <w:tcW w:w="854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109,31%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585,00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4.4. PRIHODI ZA POSEBNE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 BORAVAK RODITELJI I SOCIJALNI PROGRAM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585,00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130,00%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450,00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585,00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130,00%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585,00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5.4. TEKUĆA POMOĆI IZ PRORAČUNA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JLP</w:t>
            </w:r>
            <w:proofErr w:type="spellEnd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(R)S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A100009</w:t>
            </w:r>
          </w:p>
        </w:tc>
        <w:tc>
          <w:tcPr>
            <w:tcW w:w="7010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Aktivnost: Priprema obroka za vanjske korisnike</w:t>
            </w:r>
          </w:p>
        </w:tc>
        <w:tc>
          <w:tcPr>
            <w:tcW w:w="1239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5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12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854" w:type="dxa"/>
            <w:shd w:val="clear" w:color="000000" w:fill="FFFF99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3. VLASTITI  PRIHODI</w:t>
            </w:r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97,87%</w:t>
            </w:r>
          </w:p>
        </w:tc>
      </w:tr>
      <w:tr w:rsidR="00F57B0F" w:rsidRPr="00F57B0F" w:rsidTr="00F57B0F">
        <w:trPr>
          <w:trHeight w:val="255"/>
        </w:trPr>
        <w:tc>
          <w:tcPr>
            <w:tcW w:w="8530" w:type="dxa"/>
            <w:gridSpan w:val="2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 xml:space="preserve">Izvor 3.4. VLASTITI PRIHODI </w:t>
            </w:r>
            <w:proofErr w:type="spellStart"/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PK</w:t>
            </w:r>
            <w:proofErr w:type="spellEnd"/>
          </w:p>
        </w:tc>
        <w:tc>
          <w:tcPr>
            <w:tcW w:w="1239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5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12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854" w:type="dxa"/>
            <w:shd w:val="clear" w:color="000000" w:fill="CCCCFF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97,87%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97,87%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27.288,73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F57B0F" w:rsidRPr="00F57B0F" w:rsidTr="00F57B0F">
        <w:trPr>
          <w:trHeight w:val="255"/>
        </w:trPr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7010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12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115,67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:rsidR="00F57B0F" w:rsidRPr="00771227" w:rsidRDefault="00F57B0F" w:rsidP="00F57B0F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r-HR"/>
              </w:rPr>
            </w:pPr>
            <w:r w:rsidRPr="00771227">
              <w:rPr>
                <w:rFonts w:ascii="Arial" w:hAnsi="Arial" w:cs="Arial"/>
                <w:sz w:val="18"/>
                <w:szCs w:val="18"/>
                <w:lang w:eastAsia="hr-HR"/>
              </w:rPr>
              <w:t> </w:t>
            </w:r>
          </w:p>
        </w:tc>
      </w:tr>
    </w:tbl>
    <w:p w:rsidR="0094050F" w:rsidRDefault="0094050F">
      <w:pPr>
        <w:rPr>
          <w:b/>
        </w:rPr>
        <w:sectPr w:rsidR="0094050F" w:rsidSect="003B0BA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82922" w:rsidRDefault="00782922" w:rsidP="00782922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270756">
        <w:rPr>
          <w:rFonts w:ascii="Times New Roman" w:hAnsi="Times New Roman" w:cs="Times New Roman"/>
          <w:b/>
          <w:szCs w:val="24"/>
        </w:rPr>
        <w:lastRenderedPageBreak/>
        <w:t xml:space="preserve">Članak </w:t>
      </w:r>
      <w:r>
        <w:rPr>
          <w:rFonts w:ascii="Times New Roman" w:hAnsi="Times New Roman" w:cs="Times New Roman"/>
          <w:b/>
          <w:szCs w:val="24"/>
        </w:rPr>
        <w:t>3.</w:t>
      </w:r>
    </w:p>
    <w:p w:rsidR="00782922" w:rsidRDefault="00782922" w:rsidP="00782922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1E24">
        <w:rPr>
          <w:rFonts w:ascii="Times New Roman" w:hAnsi="Times New Roman" w:cs="Times New Roman"/>
          <w:sz w:val="24"/>
          <w:szCs w:val="24"/>
        </w:rPr>
        <w:t>Sastavni dio ovog izvještaja su i</w:t>
      </w:r>
    </w:p>
    <w:p w:rsidR="00782922" w:rsidRDefault="00782922" w:rsidP="00782922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Obrasci financijskih izvještaja proračunskog korisnika (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Bilanca, </w:t>
      </w:r>
      <w:proofErr w:type="spellStart"/>
      <w:r>
        <w:rPr>
          <w:rFonts w:ascii="Times New Roman" w:hAnsi="Times New Roman" w:cs="Times New Roman"/>
          <w:sz w:val="24"/>
          <w:szCs w:val="24"/>
        </w:rPr>
        <w:t>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-funkcijski, P-vrio i Obveze), te </w:t>
      </w:r>
    </w:p>
    <w:p w:rsidR="00782922" w:rsidRPr="00270756" w:rsidRDefault="00782922" w:rsidP="00782922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70756">
        <w:rPr>
          <w:rFonts w:ascii="Times New Roman" w:hAnsi="Times New Roman" w:cs="Times New Roman"/>
          <w:sz w:val="24"/>
          <w:szCs w:val="24"/>
        </w:rPr>
        <w:t>Obrazloženje ostvarenja prihoda i primitaka, rashoda i izdataka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2922" w:rsidRDefault="00782922" w:rsidP="00782922">
      <w:pPr>
        <w:pStyle w:val="Tijeloteksta"/>
        <w:jc w:val="center"/>
        <w:rPr>
          <w:b/>
          <w:bCs/>
        </w:rPr>
      </w:pPr>
      <w:r>
        <w:rPr>
          <w:b/>
          <w:bCs/>
        </w:rPr>
        <w:t xml:space="preserve">         </w:t>
      </w:r>
    </w:p>
    <w:p w:rsidR="00782922" w:rsidRPr="00270756" w:rsidRDefault="00782922" w:rsidP="00782922">
      <w:pPr>
        <w:pStyle w:val="Tijeloteksta"/>
        <w:jc w:val="center"/>
        <w:rPr>
          <w:rFonts w:ascii="Times New Roman" w:hAnsi="Times New Roman" w:cs="Times New Roman"/>
          <w:b/>
          <w:szCs w:val="24"/>
        </w:rPr>
      </w:pPr>
      <w:r w:rsidRPr="00270756">
        <w:rPr>
          <w:rFonts w:ascii="Times New Roman" w:hAnsi="Times New Roman" w:cs="Times New Roman"/>
          <w:b/>
          <w:szCs w:val="24"/>
        </w:rPr>
        <w:t xml:space="preserve">Članak </w:t>
      </w:r>
      <w:r>
        <w:rPr>
          <w:rFonts w:ascii="Times New Roman" w:hAnsi="Times New Roman" w:cs="Times New Roman"/>
          <w:b/>
          <w:szCs w:val="24"/>
        </w:rPr>
        <w:t>4</w:t>
      </w:r>
      <w:r w:rsidRPr="00270756">
        <w:rPr>
          <w:rFonts w:ascii="Times New Roman" w:hAnsi="Times New Roman" w:cs="Times New Roman"/>
          <w:b/>
          <w:szCs w:val="24"/>
        </w:rPr>
        <w:t>.</w:t>
      </w:r>
    </w:p>
    <w:p w:rsidR="00782922" w:rsidRPr="00270756" w:rsidRDefault="00782922" w:rsidP="00782922">
      <w:pPr>
        <w:pStyle w:val="Tijeloteksta"/>
        <w:ind w:firstLine="720"/>
        <w:jc w:val="center"/>
        <w:rPr>
          <w:rFonts w:ascii="Times New Roman" w:hAnsi="Times New Roman" w:cs="Times New Roman"/>
          <w:b/>
          <w:szCs w:val="24"/>
        </w:rPr>
      </w:pPr>
    </w:p>
    <w:p w:rsidR="00782922" w:rsidRPr="00270756" w:rsidRDefault="00782922" w:rsidP="00782922">
      <w:pPr>
        <w:jc w:val="both"/>
        <w:rPr>
          <w:b/>
        </w:rPr>
      </w:pPr>
      <w:r w:rsidRPr="00270756">
        <w:t xml:space="preserve">          Godišnji izvještaj o izvršenju </w:t>
      </w:r>
      <w:r>
        <w:t>financijskog plana</w:t>
      </w:r>
      <w:r w:rsidRPr="00270756">
        <w:t xml:space="preserve"> za 202</w:t>
      </w:r>
      <w:r w:rsidR="00F57B0F">
        <w:t>5</w:t>
      </w:r>
      <w:r w:rsidRPr="00270756">
        <w:t xml:space="preserve">. </w:t>
      </w:r>
      <w:r>
        <w:t>g</w:t>
      </w:r>
      <w:r w:rsidRPr="00270756">
        <w:t xml:space="preserve">odinu objavit će se na internetskim stranicama </w:t>
      </w:r>
      <w:r>
        <w:t>Dječjeg vrtića „Vrtuljak -Marčana</w:t>
      </w:r>
      <w:r w:rsidRPr="00270756">
        <w:t>”.</w:t>
      </w:r>
    </w:p>
    <w:p w:rsidR="00782922" w:rsidRPr="00270756" w:rsidRDefault="00782922" w:rsidP="00782922">
      <w:pPr>
        <w:jc w:val="both"/>
      </w:pPr>
    </w:p>
    <w:p w:rsidR="00782922" w:rsidRPr="00270756" w:rsidRDefault="00782922" w:rsidP="00782922">
      <w:pPr>
        <w:jc w:val="center"/>
        <w:rPr>
          <w:sz w:val="12"/>
          <w:szCs w:val="12"/>
        </w:rPr>
      </w:pPr>
    </w:p>
    <w:p w:rsidR="00782922" w:rsidRPr="00270756" w:rsidRDefault="00782922" w:rsidP="00782922">
      <w:pPr>
        <w:jc w:val="both"/>
      </w:pPr>
      <w:r>
        <w:t xml:space="preserve">KLASA: </w:t>
      </w:r>
      <w:r w:rsidR="000371D3">
        <w:t>400-04/2</w:t>
      </w:r>
      <w:r w:rsidR="00F57B0F">
        <w:t>6</w:t>
      </w:r>
      <w:r w:rsidR="000371D3">
        <w:t>-01/</w:t>
      </w:r>
      <w:proofErr w:type="spellStart"/>
      <w:r w:rsidR="000371D3">
        <w:t>01</w:t>
      </w:r>
      <w:proofErr w:type="spellEnd"/>
    </w:p>
    <w:p w:rsidR="00782922" w:rsidRPr="00270756" w:rsidRDefault="00782922" w:rsidP="00782922">
      <w:pPr>
        <w:jc w:val="both"/>
      </w:pPr>
      <w:proofErr w:type="spellStart"/>
      <w:r>
        <w:t>URBROJ</w:t>
      </w:r>
      <w:proofErr w:type="spellEnd"/>
      <w:r>
        <w:t xml:space="preserve">: </w:t>
      </w:r>
      <w:r w:rsidR="000371D3">
        <w:t>2163-26-54-28-2</w:t>
      </w:r>
      <w:r w:rsidR="00F57B0F">
        <w:t>6</w:t>
      </w:r>
      <w:r w:rsidR="000371D3">
        <w:t>-01</w:t>
      </w:r>
    </w:p>
    <w:p w:rsidR="00782922" w:rsidRPr="005010D1" w:rsidRDefault="00782922" w:rsidP="00782922">
      <w:pPr>
        <w:jc w:val="both"/>
      </w:pPr>
      <w:r w:rsidRPr="00270756">
        <w:t xml:space="preserve">Marčana, </w:t>
      </w:r>
      <w:r w:rsidR="00BA1AE6">
        <w:t>30.</w:t>
      </w:r>
      <w:r w:rsidR="00F57B0F">
        <w:t>ožujka 2026.</w:t>
      </w:r>
    </w:p>
    <w:p w:rsidR="00782922" w:rsidRDefault="00782922" w:rsidP="00782922">
      <w:pPr>
        <w:rPr>
          <w:b/>
        </w:rPr>
      </w:pPr>
      <w:r>
        <w:rPr>
          <w:b/>
        </w:rPr>
        <w:t xml:space="preserve">                                                                      PREDSJEDNIK UPRAVNOG VIJEĆA</w:t>
      </w:r>
    </w:p>
    <w:p w:rsidR="00782922" w:rsidRPr="0099114A" w:rsidRDefault="00A1096E" w:rsidP="009B6B5E">
      <w:pPr>
        <w:tabs>
          <w:tab w:val="left" w:pos="5722"/>
        </w:tabs>
        <w:rPr>
          <w:b/>
        </w:rPr>
      </w:pPr>
      <w:r>
        <w:rPr>
          <w:b/>
        </w:rPr>
        <w:t xml:space="preserve"> </w:t>
      </w:r>
      <w:r w:rsidR="009B6B5E">
        <w:rPr>
          <w:b/>
        </w:rPr>
        <w:tab/>
        <w:t>Ljiljana Miloš</w:t>
      </w:r>
      <w:r w:rsidR="00BA1AE6">
        <w:rPr>
          <w:b/>
        </w:rPr>
        <w:t>,v.r.</w:t>
      </w:r>
      <w:bookmarkStart w:id="0" w:name="_GoBack"/>
      <w:bookmarkEnd w:id="0"/>
      <w:r w:rsidR="00F57B0F">
        <w:rPr>
          <w:b/>
        </w:rPr>
        <w:t xml:space="preserve">  </w:t>
      </w:r>
    </w:p>
    <w:p w:rsidR="00782922" w:rsidRDefault="009B6B5E" w:rsidP="00782922">
      <w:pPr>
        <w:tabs>
          <w:tab w:val="left" w:pos="5895"/>
        </w:tabs>
        <w:rPr>
          <w:b/>
          <w:bCs/>
        </w:rPr>
      </w:pPr>
      <w:r>
        <w:rPr>
          <w:b/>
          <w:bCs/>
        </w:rPr>
        <w:t xml:space="preserve"> </w:t>
      </w:r>
    </w:p>
    <w:p w:rsidR="00782922" w:rsidRDefault="00782922" w:rsidP="00782922">
      <w:pPr>
        <w:tabs>
          <w:tab w:val="left" w:pos="5895"/>
        </w:tabs>
        <w:rPr>
          <w:b/>
          <w:bCs/>
        </w:rPr>
      </w:pPr>
    </w:p>
    <w:p w:rsidR="00782922" w:rsidRDefault="00782922" w:rsidP="00782922">
      <w:pPr>
        <w:tabs>
          <w:tab w:val="left" w:pos="5895"/>
        </w:tabs>
        <w:rPr>
          <w:b/>
          <w:bCs/>
        </w:rPr>
      </w:pPr>
      <w:r>
        <w:rPr>
          <w:b/>
          <w:bCs/>
        </w:rPr>
        <w:t>I. Ostvarenje financijskog plana  za 202</w:t>
      </w:r>
      <w:r w:rsidR="00F57B0F">
        <w:rPr>
          <w:b/>
          <w:bCs/>
        </w:rPr>
        <w:t>5</w:t>
      </w:r>
      <w:r>
        <w:rPr>
          <w:b/>
          <w:bCs/>
        </w:rPr>
        <w:t>. godinu</w:t>
      </w:r>
    </w:p>
    <w:p w:rsidR="00782922" w:rsidRDefault="00782922" w:rsidP="00782922">
      <w:pPr>
        <w:tabs>
          <w:tab w:val="left" w:pos="5895"/>
        </w:tabs>
        <w:jc w:val="center"/>
        <w:rPr>
          <w:b/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  <w:r>
        <w:rPr>
          <w:bCs/>
        </w:rPr>
        <w:t xml:space="preserve">           Dječji vrtić Vrtuljak Marčana ostvario je financijski plan u okviru planiranih  sredstava. Najveći udio ostvarenja prihoda čine prihodi iz proračuna Općine Marčana za financiranje redovne djelatnosti (plaće za zaposlene i materijalne rashode</w:t>
      </w:r>
      <w:r w:rsidR="00A1096E">
        <w:rPr>
          <w:bCs/>
        </w:rPr>
        <w:t>).</w:t>
      </w:r>
    </w:p>
    <w:tbl>
      <w:tblPr>
        <w:tblW w:w="11600" w:type="dxa"/>
        <w:jc w:val="center"/>
        <w:tblLook w:val="04A0" w:firstRow="1" w:lastRow="0" w:firstColumn="1" w:lastColumn="0" w:noHBand="0" w:noVBand="1"/>
      </w:tblPr>
      <w:tblGrid>
        <w:gridCol w:w="4380"/>
        <w:gridCol w:w="1460"/>
        <w:gridCol w:w="1360"/>
        <w:gridCol w:w="1360"/>
        <w:gridCol w:w="1120"/>
        <w:gridCol w:w="960"/>
        <w:gridCol w:w="960"/>
      </w:tblGrid>
      <w:tr w:rsidR="00B04619" w:rsidRPr="007122DB" w:rsidTr="00B04619">
        <w:trPr>
          <w:trHeight w:val="303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Izvršenje 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Izvorni plan 2025.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Tekući plan 2025.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Izvršenje 2025.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Indeks  4/1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A. RAČUN PRIHODA I RASHODA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i/>
                <w:color w:val="FFFFFF"/>
                <w:sz w:val="14"/>
                <w:szCs w:val="14"/>
                <w:lang w:eastAsia="hr-HR"/>
              </w:rPr>
              <w:t>6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6 Prihodi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643.095,03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831.391,00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919.159,03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859.842,19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133,70%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93,55%</w:t>
            </w:r>
          </w:p>
        </w:tc>
      </w:tr>
      <w:tr w:rsidR="00B04619" w:rsidRPr="007122DB" w:rsidTr="00B04619">
        <w:trPr>
          <w:trHeight w:val="24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7 Prihodi od prodaje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UKUPNI PRIHODI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643.095,03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831.391,00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919.159,03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859.842,19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133,70%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93,55%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3 Rashodi poslovanja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641.888,18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829.391,00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917.300,00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855.885,20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133,34%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93,30%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4 Rashodi za nabavu nefinancijske imovine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1.462,50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4.394,80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300,50%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219,74%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UKUPNI RASHODI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643.350,68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831.391,00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919.300,00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860.280,00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133,72%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93,58%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VIŠAK / MANJAK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-255,65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-140,97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-437,81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171,25%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310,57%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/ FINANCIRANJA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sz w:val="16"/>
                <w:szCs w:val="16"/>
                <w:lang w:eastAsia="hr-HR"/>
              </w:rPr>
              <w:t> 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NETO ZADUŽIVANJE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140,97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140,97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  <w:tr w:rsidR="00B04619" w:rsidRPr="007122DB" w:rsidTr="00B04619">
        <w:trPr>
          <w:trHeight w:val="393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 </w:t>
            </w:r>
          </w:p>
        </w:tc>
      </w:tr>
      <w:tr w:rsidR="00B04619" w:rsidRPr="007122DB" w:rsidTr="00AA00FD">
        <w:trPr>
          <w:trHeight w:val="255"/>
          <w:jc w:val="center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REZULTAT GODINE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-255,65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-296,84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619" w:rsidRPr="00B04619" w:rsidRDefault="00B04619" w:rsidP="00AA00FD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  <w:r w:rsidRPr="00B04619"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  <w:t>0,00%</w:t>
            </w:r>
          </w:p>
        </w:tc>
      </w:tr>
    </w:tbl>
    <w:p w:rsidR="00782922" w:rsidRDefault="00782922" w:rsidP="00782922">
      <w:pPr>
        <w:tabs>
          <w:tab w:val="left" w:pos="5895"/>
        </w:tabs>
        <w:jc w:val="both"/>
        <w:rPr>
          <w:b/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  <w:r>
        <w:rPr>
          <w:b/>
          <w:bCs/>
        </w:rPr>
        <w:t xml:space="preserve">   </w:t>
      </w:r>
      <w:r>
        <w:rPr>
          <w:bCs/>
        </w:rPr>
        <w:t xml:space="preserve">Dječji vrtić Vrtuljak Marčana u izvještajnom razdoblju ostvarila je </w:t>
      </w:r>
      <w:r w:rsidR="00B04619">
        <w:rPr>
          <w:bCs/>
        </w:rPr>
        <w:t>437,81</w:t>
      </w:r>
      <w:r>
        <w:rPr>
          <w:bCs/>
        </w:rPr>
        <w:t xml:space="preserve"> EUR </w:t>
      </w:r>
      <w:r w:rsidR="00A1096E">
        <w:rPr>
          <w:bCs/>
        </w:rPr>
        <w:t>manjka</w:t>
      </w:r>
      <w:r>
        <w:rPr>
          <w:bCs/>
        </w:rPr>
        <w:t xml:space="preserve"> prihoda nad rashodima. Preneseni višak prihoda prethodne godine iznosi </w:t>
      </w:r>
      <w:r w:rsidR="00B04619">
        <w:rPr>
          <w:bCs/>
        </w:rPr>
        <w:t>140,97</w:t>
      </w:r>
      <w:r>
        <w:rPr>
          <w:bCs/>
        </w:rPr>
        <w:t xml:space="preserve"> EUR, tako da ukupna raspoloživa sredstva, odnosno </w:t>
      </w:r>
      <w:r w:rsidR="00B04619">
        <w:rPr>
          <w:bCs/>
        </w:rPr>
        <w:t>manjak</w:t>
      </w:r>
      <w:r>
        <w:rPr>
          <w:bCs/>
        </w:rPr>
        <w:t xml:space="preserve"> izvještajnog razdoblja, prema obračunu na dan 31.12.202</w:t>
      </w:r>
      <w:r w:rsidR="00B04619">
        <w:rPr>
          <w:bCs/>
        </w:rPr>
        <w:t>5</w:t>
      </w:r>
      <w:r>
        <w:rPr>
          <w:bCs/>
        </w:rPr>
        <w:t xml:space="preserve">. iznosi </w:t>
      </w:r>
      <w:r w:rsidR="00B04619">
        <w:rPr>
          <w:bCs/>
        </w:rPr>
        <w:t>296,84</w:t>
      </w:r>
      <w:r>
        <w:rPr>
          <w:bCs/>
        </w:rPr>
        <w:t xml:space="preserve"> EUR.  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b/>
          <w:bCs/>
        </w:rPr>
      </w:pPr>
      <w:r>
        <w:rPr>
          <w:bCs/>
        </w:rPr>
        <w:t xml:space="preserve">         </w:t>
      </w:r>
      <w:r>
        <w:rPr>
          <w:b/>
          <w:bCs/>
        </w:rPr>
        <w:t>II. Izvještaj o prihodima i rashodima, primicima i izdacima</w:t>
      </w:r>
    </w:p>
    <w:p w:rsidR="00782922" w:rsidRDefault="00782922" w:rsidP="00782922">
      <w:pPr>
        <w:tabs>
          <w:tab w:val="left" w:pos="240"/>
          <w:tab w:val="left" w:pos="5895"/>
        </w:tabs>
        <w:rPr>
          <w:bCs/>
        </w:rPr>
      </w:pPr>
      <w:r>
        <w:rPr>
          <w:b/>
          <w:bCs/>
          <w:color w:val="FF0000"/>
        </w:rPr>
        <w:t xml:space="preserve">  </w:t>
      </w:r>
      <w:r>
        <w:rPr>
          <w:b/>
          <w:bCs/>
        </w:rPr>
        <w:t>II.1. Prihodi/primici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           </w:t>
      </w:r>
      <w:r>
        <w:rPr>
          <w:rFonts w:ascii="Times New Roman" w:hAnsi="Times New Roman"/>
          <w:sz w:val="24"/>
          <w:szCs w:val="24"/>
        </w:rPr>
        <w:t>Ukupni prihodi poslovanja u 202</w:t>
      </w:r>
      <w:r w:rsidR="000E084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godini ostvareni su u iznosu od </w:t>
      </w:r>
      <w:r w:rsidR="000E084E">
        <w:rPr>
          <w:rFonts w:ascii="Times New Roman" w:hAnsi="Times New Roman"/>
          <w:sz w:val="24"/>
          <w:szCs w:val="24"/>
        </w:rPr>
        <w:t>859.742,19</w:t>
      </w:r>
      <w:r>
        <w:rPr>
          <w:rFonts w:ascii="Times New Roman" w:hAnsi="Times New Roman"/>
          <w:sz w:val="24"/>
          <w:szCs w:val="24"/>
        </w:rPr>
        <w:t xml:space="preserve"> EUR (ostvarenje prethodne godine </w:t>
      </w:r>
      <w:r w:rsidR="000E084E">
        <w:rPr>
          <w:rFonts w:ascii="Times New Roman" w:hAnsi="Times New Roman"/>
          <w:sz w:val="24"/>
          <w:szCs w:val="24"/>
        </w:rPr>
        <w:t>643.095,03</w:t>
      </w:r>
      <w:r>
        <w:rPr>
          <w:rFonts w:ascii="Times New Roman" w:hAnsi="Times New Roman"/>
          <w:sz w:val="24"/>
          <w:szCs w:val="24"/>
        </w:rPr>
        <w:t xml:space="preserve"> EUR), čine </w:t>
      </w:r>
      <w:r w:rsidR="000E084E">
        <w:rPr>
          <w:rFonts w:ascii="Times New Roman" w:hAnsi="Times New Roman"/>
          <w:sz w:val="24"/>
          <w:szCs w:val="24"/>
        </w:rPr>
        <w:t>133,70</w:t>
      </w:r>
      <w:r>
        <w:rPr>
          <w:rFonts w:ascii="Times New Roman" w:hAnsi="Times New Roman"/>
          <w:sz w:val="24"/>
          <w:szCs w:val="24"/>
        </w:rPr>
        <w:t>% ostvarenja u odnosu na prethodnu 202</w:t>
      </w:r>
      <w:r w:rsidR="000E084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godinu.</w:t>
      </w:r>
      <w:r>
        <w:rPr>
          <w:bCs/>
        </w:rPr>
        <w:t xml:space="preserve"> 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Unutar pojedinih prihoda ostvarenje je manje ili veće u odnosu na prethodnu godinu:</w:t>
      </w:r>
    </w:p>
    <w:p w:rsidR="00782922" w:rsidRDefault="00782922" w:rsidP="00782922">
      <w:pPr>
        <w:pStyle w:val="Bezproreda1"/>
        <w:jc w:val="both"/>
        <w:rPr>
          <w:color w:val="000000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260" w:type="dxa"/>
        <w:jc w:val="center"/>
        <w:tblLook w:val="04A0" w:firstRow="1" w:lastRow="0" w:firstColumn="1" w:lastColumn="0" w:noHBand="0" w:noVBand="1"/>
      </w:tblPr>
      <w:tblGrid>
        <w:gridCol w:w="933"/>
        <w:gridCol w:w="2394"/>
        <w:gridCol w:w="941"/>
        <w:gridCol w:w="1026"/>
        <w:gridCol w:w="1026"/>
        <w:gridCol w:w="987"/>
        <w:gridCol w:w="953"/>
      </w:tblGrid>
      <w:tr w:rsidR="000E084E" w:rsidRPr="000E084E" w:rsidTr="000E084E">
        <w:trPr>
          <w:trHeight w:val="495"/>
          <w:jc w:val="center"/>
        </w:trPr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 xml:space="preserve">Račun iz </w:t>
            </w:r>
            <w:proofErr w:type="spellStart"/>
            <w:r w:rsidRPr="000E084E">
              <w:rPr>
                <w:color w:val="000000"/>
                <w:sz w:val="18"/>
                <w:szCs w:val="18"/>
                <w:lang w:eastAsia="hr-HR"/>
              </w:rPr>
              <w:t>rač</w:t>
            </w:r>
            <w:proofErr w:type="spellEnd"/>
            <w:r w:rsidRPr="000E084E">
              <w:rPr>
                <w:color w:val="000000"/>
                <w:sz w:val="18"/>
                <w:szCs w:val="18"/>
                <w:lang w:eastAsia="hr-HR"/>
              </w:rPr>
              <w:t xml:space="preserve"> plana</w:t>
            </w:r>
          </w:p>
        </w:tc>
        <w:tc>
          <w:tcPr>
            <w:tcW w:w="25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E084E">
              <w:rPr>
                <w:color w:val="000000"/>
                <w:sz w:val="18"/>
                <w:szCs w:val="18"/>
                <w:lang w:eastAsia="hr-HR"/>
              </w:rPr>
              <w:t>Šfra</w:t>
            </w:r>
            <w:proofErr w:type="spellEnd"/>
            <w:r w:rsidRPr="000E084E">
              <w:rPr>
                <w:color w:val="000000"/>
                <w:sz w:val="18"/>
                <w:szCs w:val="18"/>
                <w:lang w:eastAsia="hr-HR"/>
              </w:rPr>
              <w:t xml:space="preserve"> obrasca</w:t>
            </w:r>
          </w:p>
        </w:tc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Ostvarenje 2024.</w:t>
            </w:r>
          </w:p>
        </w:tc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Ostvarenje 2025.</w:t>
            </w:r>
          </w:p>
        </w:tc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Indeks 2025/2024</w:t>
            </w:r>
          </w:p>
        </w:tc>
        <w:tc>
          <w:tcPr>
            <w:tcW w:w="9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 xml:space="preserve">Udio </w:t>
            </w:r>
            <w:proofErr w:type="spellStart"/>
            <w:r w:rsidRPr="000E084E">
              <w:rPr>
                <w:color w:val="000000"/>
                <w:sz w:val="18"/>
                <w:szCs w:val="18"/>
                <w:lang w:eastAsia="hr-HR"/>
              </w:rPr>
              <w:t>ostv</w:t>
            </w:r>
            <w:proofErr w:type="spellEnd"/>
            <w:r w:rsidRPr="000E084E">
              <w:rPr>
                <w:color w:val="000000"/>
                <w:sz w:val="18"/>
                <w:szCs w:val="18"/>
                <w:lang w:eastAsia="hr-HR"/>
              </w:rPr>
              <w:t>. 2025.  %</w:t>
            </w:r>
          </w:p>
        </w:tc>
      </w:tr>
      <w:tr w:rsidR="000E084E" w:rsidRPr="000E084E" w:rsidTr="000E084E">
        <w:trPr>
          <w:trHeight w:val="177"/>
          <w:jc w:val="center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5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6 (5/4)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i/>
                <w:iCs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0E084E" w:rsidRPr="000E084E" w:rsidTr="000E084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5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poslovanja 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>X067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>643.095,03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>859.842,19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>133,70%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0E084E" w:rsidRPr="000E084E" w:rsidTr="000E084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5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Pomoći iz proračuna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8.273,03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21.339,90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257,95%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2,48%</w:t>
            </w:r>
          </w:p>
        </w:tc>
      </w:tr>
      <w:tr w:rsidR="000E084E" w:rsidRPr="000E084E" w:rsidTr="000E084E">
        <w:trPr>
          <w:trHeight w:val="558"/>
          <w:jc w:val="center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5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92.043,39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105.600,98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114,73%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12,28%</w:t>
            </w:r>
          </w:p>
        </w:tc>
      </w:tr>
      <w:tr w:rsidR="000E084E" w:rsidRPr="000E084E" w:rsidTr="000E084E">
        <w:trPr>
          <w:trHeight w:val="735"/>
          <w:jc w:val="center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5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Prihodi od prodaje proizvoda i roba te pruženih usluga i prihodi od donacija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28.957,80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27.404,40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94,64%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3,19%</w:t>
            </w:r>
          </w:p>
        </w:tc>
      </w:tr>
      <w:tr w:rsidR="000E084E" w:rsidRPr="000E084E" w:rsidTr="000E084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250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 xml:space="preserve">Prihodi iz proračuna  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513.820,81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705.496,91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137,30%</w:t>
            </w:r>
          </w:p>
        </w:tc>
        <w:tc>
          <w:tcPr>
            <w:tcW w:w="96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0E084E" w:rsidRPr="000E084E" w:rsidRDefault="000E084E" w:rsidP="000E084E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0E084E">
              <w:rPr>
                <w:color w:val="000000"/>
                <w:sz w:val="18"/>
                <w:szCs w:val="18"/>
                <w:lang w:eastAsia="hr-HR"/>
              </w:rPr>
              <w:t>82,05%</w:t>
            </w:r>
          </w:p>
        </w:tc>
      </w:tr>
    </w:tbl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Prihodi od pomoći (63) ostvareni u izvještajnom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razdoblju </w:t>
      </w:r>
      <w:r w:rsidR="000E084E">
        <w:rPr>
          <w:rFonts w:ascii="Times New Roman" w:hAnsi="Times New Roman"/>
          <w:b/>
          <w:sz w:val="24"/>
          <w:szCs w:val="24"/>
        </w:rPr>
        <w:t>21.339,90</w:t>
      </w:r>
      <w:r>
        <w:rPr>
          <w:rFonts w:ascii="Times New Roman" w:hAnsi="Times New Roman"/>
          <w:b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, (ostvarenje prethodne godine </w:t>
      </w:r>
      <w:r w:rsidR="000E084E">
        <w:rPr>
          <w:rFonts w:ascii="Times New Roman" w:hAnsi="Times New Roman"/>
          <w:sz w:val="24"/>
          <w:szCs w:val="24"/>
        </w:rPr>
        <w:t>8.273,03</w:t>
      </w:r>
      <w:r>
        <w:rPr>
          <w:rFonts w:ascii="Times New Roman" w:hAnsi="Times New Roman"/>
          <w:sz w:val="24"/>
          <w:szCs w:val="24"/>
        </w:rPr>
        <w:t xml:space="preserve"> EUR). Odnose se na 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-pomoći </w:t>
      </w:r>
      <w:proofErr w:type="spellStart"/>
      <w:r>
        <w:rPr>
          <w:rFonts w:ascii="Times New Roman" w:hAnsi="Times New Roman"/>
          <w:sz w:val="24"/>
          <w:szCs w:val="24"/>
        </w:rPr>
        <w:t>JLP</w:t>
      </w:r>
      <w:proofErr w:type="spellEnd"/>
      <w:r>
        <w:rPr>
          <w:rFonts w:ascii="Times New Roman" w:hAnsi="Times New Roman"/>
          <w:sz w:val="24"/>
          <w:szCs w:val="24"/>
        </w:rPr>
        <w:t xml:space="preserve">®S </w:t>
      </w:r>
      <w:r w:rsidR="00AA00FD">
        <w:rPr>
          <w:rFonts w:ascii="Times New Roman" w:hAnsi="Times New Roman"/>
          <w:sz w:val="24"/>
          <w:szCs w:val="24"/>
        </w:rPr>
        <w:t xml:space="preserve">15.481,50 </w:t>
      </w:r>
      <w:r>
        <w:rPr>
          <w:rFonts w:ascii="Times New Roman" w:hAnsi="Times New Roman"/>
          <w:sz w:val="24"/>
          <w:szCs w:val="24"/>
        </w:rPr>
        <w:t xml:space="preserve"> </w:t>
      </w:r>
      <w:r w:rsidR="00AA00FD">
        <w:rPr>
          <w:rFonts w:ascii="Times New Roman" w:hAnsi="Times New Roman"/>
          <w:sz w:val="24"/>
          <w:szCs w:val="24"/>
        </w:rPr>
        <w:t xml:space="preserve">(ostvarenje prethodne godine </w:t>
      </w:r>
      <w:r w:rsidR="004A52A0">
        <w:rPr>
          <w:rFonts w:ascii="Times New Roman" w:hAnsi="Times New Roman"/>
          <w:sz w:val="24"/>
          <w:szCs w:val="24"/>
        </w:rPr>
        <w:t>6.481,43</w:t>
      </w:r>
      <w:r>
        <w:rPr>
          <w:rFonts w:ascii="Times New Roman" w:hAnsi="Times New Roman"/>
          <w:sz w:val="24"/>
          <w:szCs w:val="24"/>
        </w:rPr>
        <w:t xml:space="preserve"> EUR</w:t>
      </w:r>
      <w:r w:rsidR="00AA00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za sufinanciranje smještaja </w:t>
      </w:r>
      <w:r w:rsidR="00AA00FD">
        <w:rPr>
          <w:rFonts w:ascii="Times New Roman" w:hAnsi="Times New Roman"/>
          <w:sz w:val="24"/>
          <w:szCs w:val="24"/>
        </w:rPr>
        <w:t xml:space="preserve">14.481,50 </w:t>
      </w:r>
      <w:r>
        <w:rPr>
          <w:rFonts w:ascii="Times New Roman" w:hAnsi="Times New Roman"/>
          <w:sz w:val="24"/>
          <w:szCs w:val="24"/>
        </w:rPr>
        <w:t xml:space="preserve"> EUR i </w:t>
      </w:r>
      <w:r w:rsidR="004A52A0">
        <w:rPr>
          <w:rFonts w:ascii="Times New Roman" w:hAnsi="Times New Roman"/>
          <w:sz w:val="24"/>
          <w:szCs w:val="24"/>
        </w:rPr>
        <w:t>1.000,00</w:t>
      </w:r>
      <w:r>
        <w:rPr>
          <w:rFonts w:ascii="Times New Roman" w:hAnsi="Times New Roman"/>
          <w:sz w:val="24"/>
          <w:szCs w:val="24"/>
        </w:rPr>
        <w:t xml:space="preserve"> EUR pomoći za program zavičajne nastave </w:t>
      </w:r>
    </w:p>
    <w:p w:rsidR="00782922" w:rsidRPr="004C3070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-Državni proračun</w:t>
      </w:r>
      <w:r w:rsidR="002A522F">
        <w:rPr>
          <w:rFonts w:ascii="Times New Roman" w:hAnsi="Times New Roman"/>
          <w:sz w:val="24"/>
          <w:szCs w:val="24"/>
        </w:rPr>
        <w:t xml:space="preserve"> 5.858,40 EUR </w:t>
      </w:r>
      <w:r>
        <w:rPr>
          <w:rFonts w:ascii="Times New Roman" w:hAnsi="Times New Roman"/>
          <w:sz w:val="24"/>
          <w:szCs w:val="24"/>
        </w:rPr>
        <w:t xml:space="preserve"> </w:t>
      </w:r>
      <w:r w:rsidR="002A522F">
        <w:rPr>
          <w:rFonts w:ascii="Times New Roman" w:hAnsi="Times New Roman"/>
          <w:sz w:val="24"/>
          <w:szCs w:val="24"/>
        </w:rPr>
        <w:t xml:space="preserve">(ostvarenje prethodne godine </w:t>
      </w:r>
      <w:r w:rsidR="004A52A0">
        <w:rPr>
          <w:rFonts w:ascii="Times New Roman" w:hAnsi="Times New Roman"/>
          <w:sz w:val="24"/>
          <w:szCs w:val="24"/>
        </w:rPr>
        <w:t>1.791,60 EUR</w:t>
      </w:r>
      <w:r w:rsidR="002A522F">
        <w:rPr>
          <w:rFonts w:ascii="Times New Roman" w:hAnsi="Times New Roman"/>
          <w:sz w:val="24"/>
          <w:szCs w:val="24"/>
        </w:rPr>
        <w:t>)</w:t>
      </w:r>
      <w:r w:rsidR="004A52A0">
        <w:rPr>
          <w:rFonts w:ascii="Times New Roman" w:hAnsi="Times New Roman"/>
          <w:sz w:val="24"/>
          <w:szCs w:val="24"/>
        </w:rPr>
        <w:t xml:space="preserve">, od čega </w:t>
      </w:r>
      <w:r>
        <w:rPr>
          <w:rFonts w:ascii="Times New Roman" w:hAnsi="Times New Roman"/>
          <w:sz w:val="24"/>
          <w:szCs w:val="24"/>
        </w:rPr>
        <w:t xml:space="preserve">za program </w:t>
      </w:r>
      <w:proofErr w:type="spellStart"/>
      <w:r>
        <w:rPr>
          <w:rFonts w:ascii="Times New Roman" w:hAnsi="Times New Roman"/>
          <w:sz w:val="24"/>
          <w:szCs w:val="24"/>
        </w:rPr>
        <w:t>predškole</w:t>
      </w:r>
      <w:proofErr w:type="spellEnd"/>
      <w:r>
        <w:rPr>
          <w:rFonts w:ascii="Times New Roman" w:hAnsi="Times New Roman"/>
          <w:sz w:val="24"/>
          <w:szCs w:val="24"/>
        </w:rPr>
        <w:t xml:space="preserve"> u iznosu od </w:t>
      </w:r>
      <w:r w:rsidR="002A522F">
        <w:rPr>
          <w:rFonts w:ascii="Times New Roman" w:hAnsi="Times New Roman"/>
          <w:sz w:val="24"/>
          <w:szCs w:val="24"/>
        </w:rPr>
        <w:t>374,40</w:t>
      </w:r>
      <w:r>
        <w:rPr>
          <w:rFonts w:ascii="Times New Roman" w:hAnsi="Times New Roman"/>
          <w:sz w:val="24"/>
          <w:szCs w:val="24"/>
        </w:rPr>
        <w:t xml:space="preserve"> EUR </w:t>
      </w:r>
      <w:r w:rsidR="002A522F">
        <w:rPr>
          <w:rFonts w:ascii="Times New Roman" w:hAnsi="Times New Roman"/>
          <w:sz w:val="24"/>
          <w:szCs w:val="24"/>
        </w:rPr>
        <w:t>,</w:t>
      </w:r>
      <w:r w:rsidR="004A52A0">
        <w:rPr>
          <w:rFonts w:ascii="Times New Roman" w:hAnsi="Times New Roman"/>
          <w:sz w:val="24"/>
          <w:szCs w:val="24"/>
        </w:rPr>
        <w:t xml:space="preserve"> za troškove programa za djecu s teškoćama u </w:t>
      </w:r>
      <w:proofErr w:type="spellStart"/>
      <w:r w:rsidR="004A52A0">
        <w:rPr>
          <w:rFonts w:ascii="Times New Roman" w:hAnsi="Times New Roman"/>
          <w:sz w:val="24"/>
          <w:szCs w:val="24"/>
        </w:rPr>
        <w:t>integracji</w:t>
      </w:r>
      <w:proofErr w:type="spellEnd"/>
      <w:r w:rsidR="004A52A0">
        <w:rPr>
          <w:rFonts w:ascii="Times New Roman" w:hAnsi="Times New Roman"/>
          <w:sz w:val="24"/>
          <w:szCs w:val="24"/>
        </w:rPr>
        <w:t xml:space="preserve"> u iznosu od </w:t>
      </w:r>
      <w:r w:rsidR="002A522F">
        <w:rPr>
          <w:rFonts w:ascii="Times New Roman" w:hAnsi="Times New Roman"/>
          <w:sz w:val="24"/>
          <w:szCs w:val="24"/>
        </w:rPr>
        <w:t>1.484,00</w:t>
      </w:r>
      <w:r w:rsidR="004A52A0">
        <w:rPr>
          <w:rFonts w:ascii="Times New Roman" w:hAnsi="Times New Roman"/>
          <w:sz w:val="24"/>
          <w:szCs w:val="24"/>
        </w:rPr>
        <w:t xml:space="preserve"> EUR</w:t>
      </w:r>
      <w:r w:rsidR="002A522F">
        <w:rPr>
          <w:rFonts w:ascii="Times New Roman" w:hAnsi="Times New Roman"/>
          <w:sz w:val="24"/>
          <w:szCs w:val="24"/>
        </w:rPr>
        <w:t xml:space="preserve"> i za darovitu djecu 4.000,00 EUR.</w:t>
      </w:r>
    </w:p>
    <w:p w:rsidR="00782922" w:rsidRPr="004C3070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Prihodi od imovine (64)  </w:t>
      </w:r>
      <w:r w:rsidRPr="004C3070">
        <w:rPr>
          <w:rFonts w:ascii="Times New Roman" w:hAnsi="Times New Roman"/>
          <w:sz w:val="24"/>
          <w:szCs w:val="24"/>
        </w:rPr>
        <w:t>u izvještajnom razdoblju nisu ostvareni</w:t>
      </w:r>
      <w:r w:rsidR="002A522F">
        <w:rPr>
          <w:rFonts w:ascii="Times New Roman" w:hAnsi="Times New Roman"/>
          <w:sz w:val="24"/>
          <w:szCs w:val="24"/>
        </w:rPr>
        <w:t>.</w:t>
      </w:r>
    </w:p>
    <w:p w:rsidR="00782922" w:rsidRDefault="00782922" w:rsidP="00782922">
      <w:pPr>
        <w:pStyle w:val="Bezprored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Prihodi od upravnih i administrativnih pristojbi, pristojbi po posebnim propisima i naknadama (65)  ostvareni u izvještajnom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razdoblju </w:t>
      </w:r>
      <w:r w:rsidR="002A522F">
        <w:rPr>
          <w:rFonts w:ascii="Times New Roman" w:hAnsi="Times New Roman"/>
          <w:b/>
          <w:sz w:val="24"/>
          <w:szCs w:val="24"/>
        </w:rPr>
        <w:t>105.600,98</w:t>
      </w:r>
      <w:r>
        <w:rPr>
          <w:rFonts w:ascii="Times New Roman" w:hAnsi="Times New Roman"/>
          <w:b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 xml:space="preserve"> (</w:t>
      </w:r>
      <w:r w:rsidR="002A522F">
        <w:rPr>
          <w:rFonts w:ascii="Times New Roman" w:hAnsi="Times New Roman"/>
          <w:sz w:val="24"/>
          <w:szCs w:val="24"/>
        </w:rPr>
        <w:t xml:space="preserve">ostvarenje prethodne godine 92.043,39 EUR, </w:t>
      </w:r>
      <w:r>
        <w:rPr>
          <w:rFonts w:ascii="Times New Roman" w:hAnsi="Times New Roman"/>
          <w:sz w:val="24"/>
          <w:szCs w:val="24"/>
        </w:rPr>
        <w:t xml:space="preserve">indeks ostvarenja </w:t>
      </w:r>
      <w:r w:rsidR="002A52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A52A0">
        <w:rPr>
          <w:rFonts w:ascii="Times New Roman" w:hAnsi="Times New Roman"/>
          <w:sz w:val="24"/>
          <w:szCs w:val="24"/>
        </w:rPr>
        <w:t>120,7</w:t>
      </w:r>
      <w:r>
        <w:rPr>
          <w:rFonts w:ascii="Times New Roman" w:hAnsi="Times New Roman"/>
          <w:sz w:val="24"/>
          <w:szCs w:val="24"/>
        </w:rPr>
        <w:t>%) i sadrže slijedeće prihode:</w:t>
      </w:r>
    </w:p>
    <w:p w:rsidR="00782922" w:rsidRDefault="00782922" w:rsidP="00782922">
      <w:pPr>
        <w:pStyle w:val="Bezproreda1"/>
        <w:jc w:val="both"/>
        <w:rPr>
          <w:bCs/>
        </w:rPr>
      </w:pPr>
      <w:r>
        <w:rPr>
          <w:rFonts w:ascii="Times New Roman" w:hAnsi="Times New Roman"/>
          <w:sz w:val="24"/>
          <w:szCs w:val="24"/>
        </w:rPr>
        <w:t xml:space="preserve"> - sufinanciranje cijene usluga od roditelja </w:t>
      </w:r>
      <w:r w:rsidR="002A522F">
        <w:rPr>
          <w:rFonts w:ascii="Times New Roman" w:hAnsi="Times New Roman"/>
          <w:sz w:val="24"/>
          <w:szCs w:val="24"/>
        </w:rPr>
        <w:t>94.949,70</w:t>
      </w:r>
      <w:r>
        <w:rPr>
          <w:rFonts w:ascii="Times New Roman" w:hAnsi="Times New Roman"/>
          <w:sz w:val="24"/>
          <w:szCs w:val="24"/>
        </w:rPr>
        <w:t xml:space="preserve"> EUR (ostvarenje prethodne godine </w:t>
      </w:r>
      <w:r w:rsidR="002A522F">
        <w:rPr>
          <w:rFonts w:ascii="Times New Roman" w:hAnsi="Times New Roman"/>
          <w:sz w:val="24"/>
          <w:szCs w:val="24"/>
        </w:rPr>
        <w:t>84.298,77</w:t>
      </w:r>
      <w:r>
        <w:rPr>
          <w:rFonts w:ascii="Times New Roman" w:hAnsi="Times New Roman"/>
          <w:sz w:val="24"/>
          <w:szCs w:val="24"/>
        </w:rPr>
        <w:t xml:space="preserve"> EUR),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- sufinanciranje Općine Marčana prema socijalnom programu </w:t>
      </w:r>
      <w:r w:rsidR="002A522F">
        <w:rPr>
          <w:bCs/>
        </w:rPr>
        <w:t>10.651,28</w:t>
      </w:r>
      <w:r>
        <w:rPr>
          <w:bCs/>
        </w:rPr>
        <w:t xml:space="preserve"> EUR (ostvarenje prethodne godine </w:t>
      </w:r>
      <w:r w:rsidR="002A522F">
        <w:rPr>
          <w:bCs/>
        </w:rPr>
        <w:t>7.744,62</w:t>
      </w:r>
      <w:r>
        <w:rPr>
          <w:bCs/>
        </w:rPr>
        <w:t xml:space="preserve"> EUR ) i</w:t>
      </w:r>
    </w:p>
    <w:p w:rsidR="00782922" w:rsidRPr="004C3070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            </w:t>
      </w:r>
      <w:r>
        <w:rPr>
          <w:b/>
          <w:bCs/>
        </w:rPr>
        <w:t xml:space="preserve">Prihodi od prodaje proizvoda i roba te pruženih usluga i prihodi od donacija (66) u izvještajnom razdoblju ostvareni su u iznosu od </w:t>
      </w:r>
      <w:r w:rsidR="002A522F">
        <w:rPr>
          <w:b/>
          <w:bCs/>
        </w:rPr>
        <w:t>27.404,40</w:t>
      </w:r>
      <w:r>
        <w:rPr>
          <w:b/>
          <w:bCs/>
        </w:rPr>
        <w:t xml:space="preserve"> EUR</w:t>
      </w:r>
      <w:r>
        <w:rPr>
          <w:bCs/>
        </w:rPr>
        <w:t xml:space="preserve">, i </w:t>
      </w:r>
      <w:r w:rsidR="002A522F">
        <w:rPr>
          <w:bCs/>
        </w:rPr>
        <w:t xml:space="preserve">u cijelosti se odnose na  </w:t>
      </w:r>
      <w:r w:rsidRPr="004C3070">
        <w:rPr>
          <w:bCs/>
        </w:rPr>
        <w:t xml:space="preserve">prihode od pruženih usluga pripreme i dostave hrane  </w:t>
      </w:r>
      <w:r w:rsidR="004A52A0">
        <w:rPr>
          <w:bCs/>
        </w:rPr>
        <w:t xml:space="preserve">(ostvarenje prethodne godine </w:t>
      </w:r>
      <w:r w:rsidR="002A522F">
        <w:rPr>
          <w:bCs/>
        </w:rPr>
        <w:t>28.237,80</w:t>
      </w:r>
      <w:r w:rsidR="004A52A0">
        <w:rPr>
          <w:bCs/>
        </w:rPr>
        <w:t xml:space="preserve"> EUR)</w:t>
      </w:r>
      <w:r w:rsidRPr="004C3070">
        <w:rPr>
          <w:bCs/>
        </w:rPr>
        <w:t>,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bCs/>
        </w:rPr>
      </w:pPr>
      <w:r>
        <w:rPr>
          <w:bCs/>
        </w:rPr>
        <w:t xml:space="preserve">           </w:t>
      </w:r>
      <w:r>
        <w:rPr>
          <w:b/>
          <w:bCs/>
        </w:rPr>
        <w:t xml:space="preserve">Prihodi iz proračuna (67) ostvareni su u iznosu od </w:t>
      </w:r>
      <w:r w:rsidR="002A522F">
        <w:rPr>
          <w:b/>
          <w:bCs/>
        </w:rPr>
        <w:t>705.496,91</w:t>
      </w:r>
      <w:r>
        <w:rPr>
          <w:b/>
          <w:bCs/>
        </w:rPr>
        <w:t xml:space="preserve"> EUR </w:t>
      </w:r>
      <w:r w:rsidRPr="00C11A9C">
        <w:rPr>
          <w:bCs/>
        </w:rPr>
        <w:t xml:space="preserve">(ostvarenje prethodne godine </w:t>
      </w:r>
      <w:r w:rsidR="002A522F">
        <w:rPr>
          <w:bCs/>
        </w:rPr>
        <w:t>513.820,81</w:t>
      </w:r>
      <w:r w:rsidRPr="00C11A9C">
        <w:rPr>
          <w:bCs/>
        </w:rPr>
        <w:t xml:space="preserve"> EUR), za financiranje rashoda poslovanja za zaposlene (plaće, materijalni rashodi zaposlenika i naknade za rad upravnog vijeća, materijalne</w:t>
      </w:r>
      <w:r>
        <w:rPr>
          <w:bCs/>
        </w:rPr>
        <w:t xml:space="preserve"> rashode, te za sufinanciranje programa božićnog darivanja predškolske djece).  </w:t>
      </w:r>
    </w:p>
    <w:p w:rsidR="00782922" w:rsidRPr="00431FFE" w:rsidRDefault="00782922" w:rsidP="00782922">
      <w:pPr>
        <w:jc w:val="both"/>
      </w:pPr>
      <w:r>
        <w:rPr>
          <w:bCs/>
        </w:rPr>
        <w:t xml:space="preserve">         </w:t>
      </w:r>
      <w:r w:rsidRPr="00431FFE">
        <w:t>Prihodi od nadležnog proračuna u 202</w:t>
      </w:r>
      <w:r w:rsidR="002A522F">
        <w:t>5</w:t>
      </w:r>
      <w:r w:rsidRPr="00431FFE">
        <w:t>. godini ostvareni su u većem iznosu nego prethodne godine, uglavnom iz razloga što je povećana osnovica za plaće te naknada za topli obrok, a i veći je broj zaposlenih</w:t>
      </w:r>
      <w:r w:rsidR="002A522F">
        <w:t>.</w:t>
      </w:r>
      <w:r>
        <w:t xml:space="preserve"> </w:t>
      </w:r>
      <w:r>
        <w:rPr>
          <w:bCs/>
        </w:rPr>
        <w:t xml:space="preserve">Rast </w:t>
      </w:r>
      <w:r>
        <w:t xml:space="preserve">cijena prehrambenih proizvoda, kao i materijala za čišćenje i održavanje i higijensku  njegu uvjetovalo je povećanja izdvajanja sredstava Općine </w:t>
      </w:r>
      <w:r>
        <w:lastRenderedPageBreak/>
        <w:t xml:space="preserve">Marčana, jer se uvidjelo </w:t>
      </w:r>
      <w:r w:rsidR="002A522F">
        <w:t xml:space="preserve">još </w:t>
      </w:r>
      <w:r>
        <w:t>tijekom 2023.godine da vlastita sredstva Dječjeg vrtića  nisu dostatna.</w:t>
      </w: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rFonts w:eastAsia="Calibri"/>
        </w:rPr>
      </w:pPr>
      <w:r>
        <w:rPr>
          <w:bCs/>
        </w:rPr>
        <w:t xml:space="preserve"> </w:t>
      </w:r>
    </w:p>
    <w:p w:rsidR="00782922" w:rsidRPr="00C11A9C" w:rsidRDefault="00782922" w:rsidP="00782922">
      <w:pPr>
        <w:tabs>
          <w:tab w:val="left" w:pos="240"/>
          <w:tab w:val="left" w:pos="5895"/>
        </w:tabs>
        <w:rPr>
          <w:rFonts w:eastAsia="Calibri"/>
        </w:rPr>
      </w:pPr>
      <w:r>
        <w:rPr>
          <w:rFonts w:eastAsia="Calibri"/>
        </w:rPr>
        <w:t xml:space="preserve"> </w:t>
      </w:r>
    </w:p>
    <w:p w:rsidR="00782922" w:rsidRDefault="00782922" w:rsidP="00782922">
      <w:pPr>
        <w:jc w:val="both"/>
        <w:rPr>
          <w:b/>
        </w:rPr>
      </w:pPr>
      <w:r w:rsidRPr="005010D1">
        <w:rPr>
          <w:b/>
        </w:rPr>
        <w:t xml:space="preserve">Potraživanja u ukupnom iznosu od </w:t>
      </w:r>
      <w:r w:rsidR="002A522F">
        <w:rPr>
          <w:b/>
        </w:rPr>
        <w:t>84.056,40 EUR imaju slijedeću strukturu</w:t>
      </w:r>
    </w:p>
    <w:p w:rsidR="00196F46" w:rsidRPr="00196F46" w:rsidRDefault="00196F46" w:rsidP="00196F4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F46">
        <w:rPr>
          <w:rFonts w:ascii="Times New Roman" w:hAnsi="Times New Roman" w:cs="Times New Roman"/>
          <w:b/>
          <w:sz w:val="24"/>
          <w:szCs w:val="24"/>
        </w:rPr>
        <w:t xml:space="preserve">129 ostala nespomenuta potraživanja </w:t>
      </w:r>
      <w:r>
        <w:rPr>
          <w:rFonts w:ascii="Times New Roman" w:hAnsi="Times New Roman" w:cs="Times New Roman"/>
          <w:b/>
          <w:sz w:val="24"/>
          <w:szCs w:val="24"/>
        </w:rPr>
        <w:t xml:space="preserve">u iznosu od 8.550,51 EUR </w:t>
      </w:r>
      <w:r w:rsidRPr="00196F46">
        <w:rPr>
          <w:rFonts w:ascii="Times New Roman" w:hAnsi="Times New Roman" w:cs="Times New Roman"/>
          <w:sz w:val="24"/>
          <w:szCs w:val="24"/>
        </w:rPr>
        <w:t>odnose se na potraživanja od zaposlenih</w:t>
      </w:r>
      <w:r>
        <w:rPr>
          <w:rFonts w:ascii="Times New Roman" w:hAnsi="Times New Roman" w:cs="Times New Roman"/>
          <w:sz w:val="24"/>
          <w:szCs w:val="24"/>
        </w:rPr>
        <w:t xml:space="preserve"> 423,80 EUR, te na potraživanja za naknade koje se refundiraju (bolovanje HZZO) 8.125,21 EUR, te potraživanja za predujmove 1,50 EUR</w:t>
      </w:r>
    </w:p>
    <w:p w:rsidR="002A522F" w:rsidRDefault="002A522F" w:rsidP="002A522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F46">
        <w:rPr>
          <w:rFonts w:ascii="Times New Roman" w:hAnsi="Times New Roman" w:cs="Times New Roman"/>
          <w:b/>
          <w:sz w:val="24"/>
          <w:szCs w:val="24"/>
        </w:rPr>
        <w:t xml:space="preserve">163 Potraživanja za pomoći </w:t>
      </w:r>
      <w:r w:rsidRPr="002A522F">
        <w:rPr>
          <w:rFonts w:ascii="Times New Roman" w:hAnsi="Times New Roman" w:cs="Times New Roman"/>
          <w:sz w:val="24"/>
          <w:szCs w:val="24"/>
        </w:rPr>
        <w:t>iz inozemstva i od subjekata unutar općeg proračuna 1.105,00 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22F" w:rsidRDefault="00196F46" w:rsidP="00196F4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F46">
        <w:rPr>
          <w:rFonts w:ascii="Times New Roman" w:hAnsi="Times New Roman" w:cs="Times New Roman"/>
          <w:b/>
          <w:sz w:val="24"/>
          <w:szCs w:val="24"/>
        </w:rPr>
        <w:t>165 Potraživanja za upravne i administrativne</w:t>
      </w:r>
      <w:r w:rsidRPr="00196F46">
        <w:rPr>
          <w:rFonts w:ascii="Times New Roman" w:hAnsi="Times New Roman" w:cs="Times New Roman"/>
          <w:sz w:val="24"/>
          <w:szCs w:val="24"/>
        </w:rPr>
        <w:t xml:space="preserve"> pristojbe, pristojbe po posebnim propisima i naknade 9.381,49 EUR (</w:t>
      </w:r>
      <w:r w:rsidR="002A522F" w:rsidRPr="00196F46">
        <w:rPr>
          <w:rFonts w:ascii="Times New Roman" w:hAnsi="Times New Roman" w:cs="Times New Roman"/>
          <w:sz w:val="24"/>
          <w:szCs w:val="24"/>
        </w:rPr>
        <w:t>odnose na s</w:t>
      </w:r>
      <w:r w:rsidRPr="00196F46">
        <w:rPr>
          <w:rFonts w:ascii="Times New Roman" w:hAnsi="Times New Roman" w:cs="Times New Roman"/>
          <w:sz w:val="24"/>
          <w:szCs w:val="24"/>
        </w:rPr>
        <w:t>ufinanciranje boravka</w:t>
      </w:r>
      <w:r w:rsidR="002A522F" w:rsidRPr="00196F46">
        <w:rPr>
          <w:rFonts w:ascii="Times New Roman" w:hAnsi="Times New Roman" w:cs="Times New Roman"/>
          <w:sz w:val="24"/>
          <w:szCs w:val="24"/>
        </w:rPr>
        <w:t>, od čega dospjela potraživanja u iznosu od 547,18 EUR, a nedospjela potraživanja u iznosu od 8.834,31 EUR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96F46" w:rsidRPr="00196F46" w:rsidRDefault="00196F46" w:rsidP="00196F4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F46">
        <w:rPr>
          <w:rFonts w:ascii="Times New Roman" w:hAnsi="Times New Roman" w:cs="Times New Roman"/>
          <w:b/>
          <w:sz w:val="24"/>
          <w:szCs w:val="24"/>
        </w:rPr>
        <w:t>166 potraživanja za prihode od prodaje</w:t>
      </w:r>
      <w:r>
        <w:rPr>
          <w:rFonts w:ascii="Times New Roman" w:hAnsi="Times New Roman" w:cs="Times New Roman"/>
          <w:sz w:val="24"/>
          <w:szCs w:val="24"/>
        </w:rPr>
        <w:t xml:space="preserve"> proizvoda i roba te pruženih usluga u iznosu od 2.075,40 EUR </w:t>
      </w:r>
    </w:p>
    <w:p w:rsidR="002A522F" w:rsidRPr="00196F46" w:rsidRDefault="00196F46" w:rsidP="00196F46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F46">
        <w:rPr>
          <w:rFonts w:ascii="Times New Roman" w:hAnsi="Times New Roman" w:cs="Times New Roman"/>
          <w:b/>
          <w:sz w:val="24"/>
          <w:szCs w:val="24"/>
        </w:rPr>
        <w:t>167 p</w:t>
      </w:r>
      <w:r w:rsidR="002A522F" w:rsidRPr="00196F46">
        <w:rPr>
          <w:rFonts w:ascii="Times New Roman" w:hAnsi="Times New Roman" w:cs="Times New Roman"/>
          <w:b/>
          <w:sz w:val="24"/>
          <w:szCs w:val="24"/>
        </w:rPr>
        <w:t xml:space="preserve">otraživanja </w:t>
      </w:r>
      <w:proofErr w:type="spellStart"/>
      <w:r w:rsidR="002A522F" w:rsidRPr="00196F46">
        <w:rPr>
          <w:rFonts w:ascii="Times New Roman" w:hAnsi="Times New Roman" w:cs="Times New Roman"/>
          <w:b/>
          <w:sz w:val="24"/>
          <w:szCs w:val="24"/>
        </w:rPr>
        <w:t>PK</w:t>
      </w:r>
      <w:proofErr w:type="spellEnd"/>
      <w:r w:rsidR="002A522F" w:rsidRPr="00196F46">
        <w:rPr>
          <w:rFonts w:ascii="Times New Roman" w:hAnsi="Times New Roman" w:cs="Times New Roman"/>
          <w:sz w:val="24"/>
          <w:szCs w:val="24"/>
        </w:rPr>
        <w:t xml:space="preserve"> za sredstva uplaćena u nadležni proračun 62.944,00 EUR</w:t>
      </w:r>
    </w:p>
    <w:p w:rsidR="00782922" w:rsidRDefault="00782922" w:rsidP="00782922">
      <w:pPr>
        <w:tabs>
          <w:tab w:val="left" w:pos="240"/>
          <w:tab w:val="left" w:pos="5895"/>
        </w:tabs>
        <w:rPr>
          <w:b/>
          <w:bCs/>
        </w:rPr>
      </w:pPr>
    </w:p>
    <w:p w:rsidR="00782922" w:rsidRDefault="00782922" w:rsidP="00782922">
      <w:pPr>
        <w:tabs>
          <w:tab w:val="left" w:pos="240"/>
          <w:tab w:val="left" w:pos="5895"/>
        </w:tabs>
        <w:rPr>
          <w:b/>
          <w:bCs/>
        </w:rPr>
      </w:pPr>
    </w:p>
    <w:p w:rsidR="00782922" w:rsidRDefault="00782922" w:rsidP="00782922">
      <w:pPr>
        <w:tabs>
          <w:tab w:val="left" w:pos="240"/>
          <w:tab w:val="left" w:pos="5895"/>
        </w:tabs>
        <w:rPr>
          <w:b/>
          <w:bCs/>
        </w:rPr>
      </w:pPr>
      <w:r>
        <w:rPr>
          <w:b/>
          <w:bCs/>
        </w:rPr>
        <w:t>II.2. Rashodi/izdaci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  <w:r>
        <w:rPr>
          <w:b/>
          <w:bCs/>
        </w:rPr>
        <w:t xml:space="preserve">         </w:t>
      </w:r>
      <w:r>
        <w:rPr>
          <w:bCs/>
        </w:rPr>
        <w:t>Ukupni rashodi poslovanja u 202</w:t>
      </w:r>
      <w:r w:rsidR="00196F46">
        <w:rPr>
          <w:bCs/>
        </w:rPr>
        <w:t>5</w:t>
      </w:r>
      <w:r>
        <w:rPr>
          <w:bCs/>
        </w:rPr>
        <w:t xml:space="preserve">. godini ostvareni su u iznosu od </w:t>
      </w:r>
      <w:r w:rsidR="00E75FEA">
        <w:rPr>
          <w:bCs/>
        </w:rPr>
        <w:t>860.280,00</w:t>
      </w:r>
      <w:r w:rsidR="009F5E0E">
        <w:rPr>
          <w:bCs/>
        </w:rPr>
        <w:t xml:space="preserve"> EUR</w:t>
      </w:r>
      <w:r>
        <w:rPr>
          <w:bCs/>
        </w:rPr>
        <w:t xml:space="preserve"> i bilježe povećanje od </w:t>
      </w:r>
      <w:r w:rsidR="00E75FEA">
        <w:rPr>
          <w:bCs/>
        </w:rPr>
        <w:t>33,72</w:t>
      </w:r>
      <w:r>
        <w:rPr>
          <w:bCs/>
        </w:rPr>
        <w:t>% ostvarenja u odnosu na ostvarenje prethodne 202</w:t>
      </w:r>
      <w:r w:rsidR="00E75FEA">
        <w:rPr>
          <w:bCs/>
        </w:rPr>
        <w:t>4</w:t>
      </w:r>
      <w:r>
        <w:rPr>
          <w:bCs/>
        </w:rPr>
        <w:t xml:space="preserve">. godine </w:t>
      </w:r>
      <w:r w:rsidR="009F5E0E">
        <w:rPr>
          <w:bCs/>
        </w:rPr>
        <w:t>.</w:t>
      </w:r>
    </w:p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35"/>
        <w:gridCol w:w="2389"/>
        <w:gridCol w:w="943"/>
        <w:gridCol w:w="1135"/>
        <w:gridCol w:w="1134"/>
        <w:gridCol w:w="992"/>
        <w:gridCol w:w="1134"/>
      </w:tblGrid>
      <w:tr w:rsidR="00196F46" w:rsidRPr="00196F46" w:rsidTr="00E75FEA">
        <w:trPr>
          <w:trHeight w:val="495"/>
        </w:trPr>
        <w:tc>
          <w:tcPr>
            <w:tcW w:w="9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 xml:space="preserve">Račun iz </w:t>
            </w:r>
            <w:proofErr w:type="spellStart"/>
            <w:r w:rsidRPr="00196F46">
              <w:rPr>
                <w:color w:val="000000"/>
                <w:sz w:val="18"/>
                <w:szCs w:val="18"/>
                <w:lang w:eastAsia="hr-HR"/>
              </w:rPr>
              <w:t>rač</w:t>
            </w:r>
            <w:proofErr w:type="spellEnd"/>
            <w:r w:rsidRPr="00196F46">
              <w:rPr>
                <w:color w:val="000000"/>
                <w:sz w:val="18"/>
                <w:szCs w:val="18"/>
                <w:lang w:eastAsia="hr-HR"/>
              </w:rPr>
              <w:t xml:space="preserve"> plana</w:t>
            </w:r>
          </w:p>
        </w:tc>
        <w:tc>
          <w:tcPr>
            <w:tcW w:w="238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VRSTA  RASHODA</w:t>
            </w:r>
          </w:p>
        </w:tc>
        <w:tc>
          <w:tcPr>
            <w:tcW w:w="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196F46">
              <w:rPr>
                <w:color w:val="000000"/>
                <w:sz w:val="18"/>
                <w:szCs w:val="18"/>
                <w:lang w:eastAsia="hr-HR"/>
              </w:rPr>
              <w:t>Šfra</w:t>
            </w:r>
            <w:proofErr w:type="spellEnd"/>
            <w:r w:rsidRPr="00196F46">
              <w:rPr>
                <w:color w:val="000000"/>
                <w:sz w:val="18"/>
                <w:szCs w:val="18"/>
                <w:lang w:eastAsia="hr-HR"/>
              </w:rPr>
              <w:t xml:space="preserve"> obrasca</w:t>
            </w:r>
          </w:p>
        </w:tc>
        <w:tc>
          <w:tcPr>
            <w:tcW w:w="113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Ostvarenje 2024.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Ostvarenje 2025.</w:t>
            </w:r>
          </w:p>
        </w:tc>
        <w:tc>
          <w:tcPr>
            <w:tcW w:w="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Indeks 2025/2024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 xml:space="preserve">Udio </w:t>
            </w:r>
            <w:proofErr w:type="spellStart"/>
            <w:r w:rsidRPr="00196F46">
              <w:rPr>
                <w:color w:val="000000"/>
                <w:sz w:val="18"/>
                <w:szCs w:val="18"/>
                <w:lang w:eastAsia="hr-HR"/>
              </w:rPr>
              <w:t>ostv</w:t>
            </w:r>
            <w:proofErr w:type="spellEnd"/>
            <w:r w:rsidRPr="00196F46">
              <w:rPr>
                <w:color w:val="000000"/>
                <w:sz w:val="18"/>
                <w:szCs w:val="18"/>
                <w:lang w:eastAsia="hr-HR"/>
              </w:rPr>
              <w:t>. 2025.  %</w:t>
            </w:r>
          </w:p>
        </w:tc>
      </w:tr>
      <w:tr w:rsidR="00E75FEA" w:rsidRPr="00196F46" w:rsidTr="00E75FEA">
        <w:trPr>
          <w:trHeight w:val="270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3,4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Ukupno rashodi poslovanja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Y345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643.350,68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860.280,00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133,72%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196F46" w:rsidRPr="00196F46" w:rsidTr="00E75FEA">
        <w:trPr>
          <w:trHeight w:val="270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poslovanja 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Z005 (3)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641.888,18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855.885,20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133,34%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96F46" w:rsidRPr="00196F46" w:rsidTr="00E75FEA">
        <w:trPr>
          <w:trHeight w:val="270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470.169,62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641.353,95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136,41%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74,55%</w:t>
            </w:r>
          </w:p>
        </w:tc>
      </w:tr>
      <w:tr w:rsidR="00196F46" w:rsidRPr="00196F46" w:rsidTr="00E75FEA">
        <w:trPr>
          <w:trHeight w:val="270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160.657,11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201.476,39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125,41%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23,42%</w:t>
            </w:r>
          </w:p>
        </w:tc>
      </w:tr>
      <w:tr w:rsidR="00196F46" w:rsidRPr="00196F46" w:rsidTr="00E75FEA">
        <w:trPr>
          <w:trHeight w:val="270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727,76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889,83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122,27%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0,10%</w:t>
            </w:r>
          </w:p>
        </w:tc>
      </w:tr>
      <w:tr w:rsidR="00196F46" w:rsidRPr="00196F46" w:rsidTr="00E75FEA">
        <w:trPr>
          <w:trHeight w:val="181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10.333,69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12.165,03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117,72%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1,41%</w:t>
            </w:r>
          </w:p>
        </w:tc>
      </w:tr>
      <w:tr w:rsidR="00196F46" w:rsidRPr="00196F46" w:rsidTr="00E75FEA">
        <w:trPr>
          <w:trHeight w:val="247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 xml:space="preserve">Y002 (4) 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color w:val="000000"/>
                <w:sz w:val="18"/>
                <w:szCs w:val="18"/>
                <w:lang w:eastAsia="hr-HR"/>
              </w:rPr>
              <w:t>300,50%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96F46" w:rsidRPr="00196F46" w:rsidTr="00E75FEA">
        <w:trPr>
          <w:trHeight w:val="495"/>
        </w:trPr>
        <w:tc>
          <w:tcPr>
            <w:tcW w:w="9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38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Rashodi za nabavu dugotrajne imovine</w:t>
            </w:r>
          </w:p>
        </w:tc>
        <w:tc>
          <w:tcPr>
            <w:tcW w:w="943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135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1.462,50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4.394,80</w:t>
            </w:r>
          </w:p>
        </w:tc>
        <w:tc>
          <w:tcPr>
            <w:tcW w:w="992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300,50%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196F46" w:rsidRPr="00196F46" w:rsidRDefault="00196F46" w:rsidP="00196F46">
            <w:pPr>
              <w:suppressAutoHyphens w:val="0"/>
              <w:jc w:val="right"/>
              <w:rPr>
                <w:color w:val="000000"/>
                <w:sz w:val="18"/>
                <w:szCs w:val="18"/>
                <w:lang w:eastAsia="hr-HR"/>
              </w:rPr>
            </w:pPr>
            <w:r w:rsidRPr="00196F46">
              <w:rPr>
                <w:color w:val="000000"/>
                <w:sz w:val="18"/>
                <w:szCs w:val="18"/>
                <w:lang w:eastAsia="hr-HR"/>
              </w:rPr>
              <w:t>0,51%</w:t>
            </w:r>
          </w:p>
        </w:tc>
      </w:tr>
    </w:tbl>
    <w:p w:rsidR="00782922" w:rsidRDefault="00782922" w:rsidP="00782922">
      <w:pPr>
        <w:tabs>
          <w:tab w:val="left" w:pos="5895"/>
        </w:tabs>
        <w:jc w:val="both"/>
        <w:rPr>
          <w:bCs/>
        </w:rPr>
      </w:pPr>
    </w:p>
    <w:p w:rsidR="00782922" w:rsidRDefault="00782922" w:rsidP="00782922">
      <w:pPr>
        <w:tabs>
          <w:tab w:val="left" w:pos="5895"/>
        </w:tabs>
        <w:jc w:val="both"/>
        <w:rPr>
          <w:rFonts w:ascii="Calibri" w:hAnsi="Calibri" w:cs="Calibri"/>
          <w:bCs/>
          <w:sz w:val="16"/>
          <w:szCs w:val="16"/>
        </w:rPr>
      </w:pPr>
    </w:p>
    <w:p w:rsidR="00782922" w:rsidRDefault="00782922" w:rsidP="00782922">
      <w:pPr>
        <w:tabs>
          <w:tab w:val="left" w:pos="5895"/>
        </w:tabs>
        <w:jc w:val="both"/>
        <w:rPr>
          <w:rFonts w:ascii="Arial" w:hAnsi="Arial" w:cs="Arial"/>
        </w:rPr>
      </w:pPr>
      <w:r>
        <w:rPr>
          <w:bCs/>
        </w:rPr>
        <w:t xml:space="preserve">          </w:t>
      </w:r>
      <w:r>
        <w:rPr>
          <w:b/>
          <w:bCs/>
        </w:rPr>
        <w:t>Rashodi poslovanja  razreda 3</w:t>
      </w:r>
      <w:r>
        <w:rPr>
          <w:bCs/>
        </w:rPr>
        <w:t xml:space="preserve"> </w:t>
      </w:r>
      <w:r>
        <w:rPr>
          <w:b/>
          <w:bCs/>
        </w:rPr>
        <w:t>(Z005)</w:t>
      </w:r>
      <w:r>
        <w:rPr>
          <w:bCs/>
        </w:rPr>
        <w:t xml:space="preserve"> ostvareni u iznosu od </w:t>
      </w:r>
      <w:r w:rsidR="00C635DD">
        <w:rPr>
          <w:bCs/>
        </w:rPr>
        <w:t xml:space="preserve">855.885,20 </w:t>
      </w:r>
      <w:r>
        <w:rPr>
          <w:bCs/>
        </w:rPr>
        <w:t xml:space="preserve">EUR (ostvarenje prethodne godine </w:t>
      </w:r>
      <w:r w:rsidR="00C635DD">
        <w:rPr>
          <w:bCs/>
        </w:rPr>
        <w:t xml:space="preserve">641.888,18 EUR indeks 25/24 33,72%; ostvarenje 2023. godine </w:t>
      </w:r>
      <w:r w:rsidR="009F5E0E">
        <w:rPr>
          <w:bCs/>
        </w:rPr>
        <w:t>463.866,22</w:t>
      </w:r>
      <w:r>
        <w:rPr>
          <w:bCs/>
        </w:rPr>
        <w:t xml:space="preserve"> EUR</w:t>
      </w:r>
      <w:r w:rsidR="00C635DD">
        <w:rPr>
          <w:bCs/>
        </w:rPr>
        <w:t xml:space="preserve"> indeks 23/25 84,51%</w:t>
      </w:r>
      <w:r>
        <w:rPr>
          <w:bCs/>
        </w:rPr>
        <w:t xml:space="preserve">), odnose se na rashode za zaposlene, materijalne rashode, financijske rashode i naknade građanima i kućanstvima.  </w:t>
      </w:r>
      <w:r w:rsidR="00C635DD">
        <w:rPr>
          <w:bCs/>
        </w:rPr>
        <w:t xml:space="preserve">Vidljivo je povećanje rashoda uslijed otvaranja novog vrtića i povećanja broja zaposlenika. </w:t>
      </w:r>
      <w:r>
        <w:rPr>
          <w:bCs/>
        </w:rPr>
        <w:t xml:space="preserve">Ostvarenje rashoda u izvještajnom razdoblju u skladu je sa planom, a unutar ostvarenja pojedine stavke bilježe povećanje, smanjenje ili su na razini ostvarenja prethodne godine.  </w:t>
      </w:r>
    </w:p>
    <w:p w:rsidR="00782922" w:rsidRDefault="00782922" w:rsidP="00782922">
      <w:pPr>
        <w:rPr>
          <w:rFonts w:ascii="Arial" w:hAnsi="Arial" w:cs="Arial"/>
        </w:rPr>
      </w:pPr>
    </w:p>
    <w:p w:rsidR="00782922" w:rsidRDefault="00782922" w:rsidP="00782922">
      <w:pPr>
        <w:tabs>
          <w:tab w:val="left" w:pos="240"/>
          <w:tab w:val="left" w:pos="58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b/>
          <w:bCs/>
        </w:rPr>
        <w:t>Rashodi za zaposlene</w:t>
      </w:r>
      <w:r>
        <w:rPr>
          <w:bCs/>
        </w:rPr>
        <w:t xml:space="preserve"> ostvareni u iznosu od</w:t>
      </w:r>
      <w:r w:rsidR="00C635DD">
        <w:rPr>
          <w:bCs/>
        </w:rPr>
        <w:t xml:space="preserve"> 641.353,95 EUR</w:t>
      </w:r>
      <w:r>
        <w:rPr>
          <w:bCs/>
        </w:rPr>
        <w:t xml:space="preserve"> </w:t>
      </w:r>
      <w:r w:rsidR="00C635DD">
        <w:rPr>
          <w:bCs/>
        </w:rPr>
        <w:t xml:space="preserve">(ostvarenje 2024.godine </w:t>
      </w:r>
      <w:r w:rsidR="009F5E0E">
        <w:rPr>
          <w:bCs/>
        </w:rPr>
        <w:t>470.169,62</w:t>
      </w:r>
      <w:r>
        <w:rPr>
          <w:bCs/>
        </w:rPr>
        <w:t xml:space="preserve"> EUR</w:t>
      </w:r>
      <w:r w:rsidR="00C635DD">
        <w:rPr>
          <w:bCs/>
        </w:rPr>
        <w:t>)</w:t>
      </w:r>
      <w:r>
        <w:rPr>
          <w:bCs/>
        </w:rPr>
        <w:t xml:space="preserve"> odnosno </w:t>
      </w:r>
      <w:r w:rsidR="009F5E0E">
        <w:rPr>
          <w:bCs/>
        </w:rPr>
        <w:t>140,90</w:t>
      </w:r>
      <w:r>
        <w:rPr>
          <w:bCs/>
        </w:rPr>
        <w:t>% ostvarenja u odnosu na prethodnu godinu. Do povećanja u odnosu na ostvarenje prethodne godine, došlo je zbog realizacije planiranog zapošljavanja zaposlenika, nakon otvaranja novog objekta</w:t>
      </w:r>
      <w:r w:rsidR="009F5E0E">
        <w:rPr>
          <w:bCs/>
        </w:rPr>
        <w:t xml:space="preserve">, te iz razloga što je </w:t>
      </w:r>
      <w:r w:rsidR="001267B2">
        <w:rPr>
          <w:bCs/>
        </w:rPr>
        <w:t>t</w:t>
      </w:r>
      <w:r w:rsidR="001267B2" w:rsidRPr="00473615">
        <w:t xml:space="preserve">ijekom izvještajnog razdoblja </w:t>
      </w:r>
      <w:r w:rsidR="001267B2" w:rsidRPr="00473615">
        <w:lastRenderedPageBreak/>
        <w:t xml:space="preserve">osnovica za obračun plaće povećavana </w:t>
      </w:r>
      <w:r w:rsidR="001267B2">
        <w:t xml:space="preserve"> </w:t>
      </w:r>
      <w:r w:rsidR="001267B2" w:rsidRPr="00473615">
        <w:t xml:space="preserve"> </w:t>
      </w:r>
      <w:r w:rsidR="001267B2">
        <w:t>pet puta, a u odnosu na osnovicu koja je u siječnju iznosila 570,00 EUR, u listopadu je povećana za gotovo 53% i iznosila je 871,00 EUR.</w:t>
      </w:r>
    </w:p>
    <w:p w:rsidR="00782922" w:rsidRDefault="00782922" w:rsidP="00782922">
      <w:pPr>
        <w:jc w:val="both"/>
      </w:pPr>
      <w:r>
        <w:rPr>
          <w:rFonts w:ascii="Arial" w:hAnsi="Arial" w:cs="Arial"/>
        </w:rPr>
        <w:t xml:space="preserve">        </w:t>
      </w:r>
      <w:r>
        <w:rPr>
          <w:b/>
        </w:rPr>
        <w:t>Materijalni rashodi</w:t>
      </w:r>
      <w:r>
        <w:t xml:space="preserve">  ostvareni u iznosu od 123.964,67 EUR – indeks ostvarenja 123,1%. Unutar materijalnih rashoda pojedine stavke bilježe povećanje odnosno smanjenje. </w:t>
      </w:r>
    </w:p>
    <w:p w:rsidR="00C42A59" w:rsidRDefault="00782922" w:rsidP="00C42A59">
      <w:pPr>
        <w:jc w:val="both"/>
      </w:pPr>
      <w:r>
        <w:t xml:space="preserve">        </w:t>
      </w:r>
      <w:r w:rsidRPr="001053A4">
        <w:rPr>
          <w:b/>
        </w:rPr>
        <w:t>Naknade troškova  zaposlenima (321)</w:t>
      </w:r>
      <w:r>
        <w:t xml:space="preserve">  </w:t>
      </w:r>
      <w:r w:rsidR="00C42A59">
        <w:t xml:space="preserve">bilježe povećanje za 12,6%   uvedena je naknada za topli obrok zaposlenih. Službena putovanja (indeks 55,8%)  i stručna usavršavanja (indeks 169,6%)  bilježe povećanje od   zbog prisustvovanja odgajatelja na edukacijama. Naknade za prijevoz (indeks 107,3%) bilježe povećanje jer su naknade zaposlenima usklađene sa cijenom povećanja troškova autoprijevoznika.  Ostale naknade troškova zaposlenima (indeks 190,1%) odnose se na povećanje naknade za upotrebu osobnog automobila u službene svrhe radi odlaska na edukacije i programa zavičajne nastave. </w:t>
      </w:r>
    </w:p>
    <w:p w:rsidR="00C42A59" w:rsidRDefault="00782922" w:rsidP="00C42A59">
      <w:pPr>
        <w:jc w:val="both"/>
      </w:pPr>
      <w:r>
        <w:t xml:space="preserve">         </w:t>
      </w:r>
      <w:r w:rsidRPr="001053A4">
        <w:rPr>
          <w:b/>
        </w:rPr>
        <w:t>Rashodi za materijal i energiju (322)</w:t>
      </w:r>
      <w:r>
        <w:t xml:space="preserve"> bilježe povećanje za 35,3% . </w:t>
      </w:r>
      <w:r w:rsidR="00C42A59">
        <w:t xml:space="preserve">Gotovo svi rashodi unutar ove skupine bilježe povećanje, a razlozi  su </w:t>
      </w:r>
      <w:r w:rsidR="00C42A59">
        <w:rPr>
          <w:bCs/>
        </w:rPr>
        <w:t xml:space="preserve">rast </w:t>
      </w:r>
      <w:r w:rsidR="00C42A59">
        <w:t>cijena prehrambenih proizvoda,   materijala za čišćenje i održavanje, te higijensku  njegu, kao i veći broj djece polaznika ustanove.</w:t>
      </w:r>
    </w:p>
    <w:p w:rsidR="00C42A59" w:rsidRDefault="00C42A59" w:rsidP="00C42A59">
      <w:pPr>
        <w:jc w:val="both"/>
      </w:pPr>
      <w:r>
        <w:rPr>
          <w:b/>
        </w:rPr>
        <w:t xml:space="preserve">         </w:t>
      </w:r>
      <w:r w:rsidRPr="00C42A59">
        <w:rPr>
          <w:b/>
        </w:rPr>
        <w:t xml:space="preserve">Rashodi za usluge  (323) </w:t>
      </w:r>
      <w:r>
        <w:t>ostvareni u iznosu od 33.642,61 EUR  (indeks ostvarenja 116,8%)</w:t>
      </w:r>
    </w:p>
    <w:p w:rsidR="00782922" w:rsidRPr="00C42A59" w:rsidRDefault="00C42A59" w:rsidP="00C42A59">
      <w:pPr>
        <w:jc w:val="both"/>
        <w:rPr>
          <w:color w:val="FF0000"/>
        </w:rPr>
      </w:pPr>
      <w:r>
        <w:t xml:space="preserve">Povećanje bilježe usluge telefona, pošte 12,8% radi povećanja cijene usluge, komunalne usluge 11,2% radi povećanje naknade za uređenje voda, intelektualne i osobne usluge 35,8% i u cijelosti se odnose na autorske honorare za provođenje programa božićnog darivanja predškolske djece,  usluge tekućeg i investicijsko </w:t>
      </w:r>
      <w:proofErr w:type="spellStart"/>
      <w:r>
        <w:t>odžavanja</w:t>
      </w:r>
      <w:proofErr w:type="spellEnd"/>
      <w:r>
        <w:t xml:space="preserve"> 120,8% zbog uređenja područnog odjeljenja u </w:t>
      </w:r>
      <w:proofErr w:type="spellStart"/>
      <w:r>
        <w:t>Raklju</w:t>
      </w:r>
      <w:proofErr w:type="spellEnd"/>
      <w:r>
        <w:t xml:space="preserve">, ostale usluge povećanje bilježe za  36,8% a odnose se na </w:t>
      </w:r>
      <w:proofErr w:type="spellStart"/>
      <w:r>
        <w:t>povećne</w:t>
      </w:r>
      <w:proofErr w:type="spellEnd"/>
      <w:r>
        <w:t xml:space="preserve"> usluge pranje robe. </w:t>
      </w:r>
      <w:r>
        <w:rPr>
          <w:color w:val="FF0000"/>
        </w:rPr>
        <w:t xml:space="preserve"> </w:t>
      </w:r>
      <w:r w:rsidR="00782922">
        <w:rPr>
          <w:b/>
        </w:rPr>
        <w:t xml:space="preserve">       </w:t>
      </w:r>
      <w:r>
        <w:rPr>
          <w:b/>
        </w:rPr>
        <w:t xml:space="preserve"> </w:t>
      </w:r>
    </w:p>
    <w:p w:rsidR="00C42A59" w:rsidRDefault="00C42A59" w:rsidP="00C42A59">
      <w:pPr>
        <w:jc w:val="both"/>
      </w:pPr>
      <w:r>
        <w:rPr>
          <w:b/>
        </w:rPr>
        <w:t xml:space="preserve">          </w:t>
      </w:r>
      <w:r w:rsidRPr="00C42A59">
        <w:rPr>
          <w:b/>
        </w:rPr>
        <w:t>Ostali nespomenuti rashodi poslovanja (329)</w:t>
      </w:r>
      <w:r>
        <w:t xml:space="preserve"> ostvareni u iznosu od 8.784,83 EUR indeks ostvarenja 369,2%. Povećanje bilježe premije osiguranja  zbog povećanja cijene obveznog osiguranja prijevoznog sredstva, usluge reprezentacije , te zbog plaćanja naknade za nezapošljavanje osoba s invaliditetom.</w:t>
      </w:r>
    </w:p>
    <w:p w:rsidR="00C42A59" w:rsidRDefault="00C42A59" w:rsidP="00C42A59">
      <w:pPr>
        <w:jc w:val="both"/>
      </w:pPr>
      <w:r>
        <w:rPr>
          <w:b/>
        </w:rPr>
        <w:t xml:space="preserve">          </w:t>
      </w:r>
      <w:r w:rsidRPr="00C42A59">
        <w:rPr>
          <w:b/>
        </w:rPr>
        <w:t>Financijski rashodi (34)</w:t>
      </w:r>
      <w:r>
        <w:t xml:space="preserve"> ostvareni u iznosu od 727,76 EUR bilježe povećanje zbog rasta naknade za </w:t>
      </w:r>
      <w:proofErr w:type="spellStart"/>
      <w:r>
        <w:t>banksrske</w:t>
      </w:r>
      <w:proofErr w:type="spellEnd"/>
      <w:r>
        <w:t xml:space="preserve"> usluge i plaćanje zateznih kamata. </w:t>
      </w:r>
    </w:p>
    <w:p w:rsidR="00C42A59" w:rsidRDefault="00C42A59" w:rsidP="00C42A59">
      <w:pPr>
        <w:jc w:val="both"/>
      </w:pPr>
      <w:r>
        <w:rPr>
          <w:b/>
        </w:rPr>
        <w:t xml:space="preserve">         </w:t>
      </w:r>
      <w:r w:rsidRPr="00C42A59">
        <w:rPr>
          <w:b/>
        </w:rPr>
        <w:t>Pomoći dane u inozemstvo i unutar općeg proračuna (36)</w:t>
      </w:r>
      <w:r>
        <w:t xml:space="preserve"> nisu ostvareni u izvještajnom razdoblju. </w:t>
      </w:r>
    </w:p>
    <w:p w:rsidR="00C42A59" w:rsidRDefault="00C42A59" w:rsidP="00C42A59">
      <w:r>
        <w:t xml:space="preserve">         </w:t>
      </w:r>
      <w:r w:rsidRPr="00C42A59">
        <w:rPr>
          <w:b/>
        </w:rPr>
        <w:t>Naknade građanima i kućanstvima u novcu (37) o</w:t>
      </w:r>
      <w:r>
        <w:t xml:space="preserve">stvareni u iznosu od 10.333,69 EUR, u cijelosti se odnose na božićno darivanje predškolske djece  i  bilježe povećanje   zbog potrebe kupnje većeg broja paketa za darivanje. </w:t>
      </w:r>
    </w:p>
    <w:p w:rsidR="00C42A59" w:rsidRPr="00431FFE" w:rsidRDefault="00782922" w:rsidP="00C42A59">
      <w:pPr>
        <w:jc w:val="both"/>
      </w:pPr>
      <w:r>
        <w:rPr>
          <w:b/>
        </w:rPr>
        <w:t xml:space="preserve">           Rashodi za nabavu nefinancijske imovine</w:t>
      </w:r>
      <w:r>
        <w:t xml:space="preserve">  </w:t>
      </w:r>
      <w:r w:rsidRPr="001053A4">
        <w:rPr>
          <w:b/>
        </w:rPr>
        <w:t>(42)</w:t>
      </w:r>
      <w:r>
        <w:t xml:space="preserve">  </w:t>
      </w:r>
      <w:r w:rsidR="00C42A59" w:rsidRPr="00431FFE">
        <w:t>iznosili su u 202</w:t>
      </w:r>
      <w:r w:rsidR="00C42A59">
        <w:t>4</w:t>
      </w:r>
      <w:r w:rsidR="00C42A59" w:rsidRPr="00431FFE">
        <w:t xml:space="preserve">. godini </w:t>
      </w:r>
      <w:r w:rsidR="00C42A59">
        <w:t>1.426,50 EUR</w:t>
      </w:r>
      <w:r w:rsidR="00C42A59" w:rsidRPr="00431FFE">
        <w:t xml:space="preserve"> </w:t>
      </w:r>
      <w:r w:rsidR="00C42A59">
        <w:t xml:space="preserve">i bilježe povećanje </w:t>
      </w:r>
      <w:r w:rsidR="00C42A59" w:rsidRPr="00431FFE">
        <w:t xml:space="preserve">u odnosu na prethodnu godinu iz razloga što </w:t>
      </w:r>
      <w:r w:rsidR="00C42A59">
        <w:t>je tijekom izvještajnog razdoblja nabavljeno novo računalo.</w:t>
      </w:r>
    </w:p>
    <w:p w:rsidR="00782922" w:rsidRDefault="00782922" w:rsidP="00782922"/>
    <w:p w:rsidR="00C42A59" w:rsidRDefault="00782922" w:rsidP="00C42A5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1053A4">
        <w:rPr>
          <w:rFonts w:ascii="Arial" w:hAnsi="Arial" w:cs="Arial"/>
          <w:b/>
        </w:rPr>
        <w:t xml:space="preserve">    </w:t>
      </w:r>
      <w:r w:rsidRPr="001053A4">
        <w:rPr>
          <w:b/>
        </w:rPr>
        <w:t>REZULTAT POSLOVANJA</w:t>
      </w:r>
      <w:r>
        <w:rPr>
          <w:b/>
        </w:rPr>
        <w:t xml:space="preserve"> </w:t>
      </w:r>
    </w:p>
    <w:p w:rsidR="00C42A59" w:rsidRPr="00C42A59" w:rsidRDefault="00C42A59" w:rsidP="00C42A59">
      <w:pPr>
        <w:rPr>
          <w:rFonts w:ascii="Arial" w:hAnsi="Arial" w:cs="Arial"/>
          <w:b/>
        </w:rPr>
      </w:pPr>
      <w:r>
        <w:t xml:space="preserve">       Manjak</w:t>
      </w:r>
      <w:r w:rsidRPr="00431FFE">
        <w:t xml:space="preserve"> prihoda poslovanja </w:t>
      </w:r>
      <w:r>
        <w:t xml:space="preserve">izvještajnog razdoblja </w:t>
      </w:r>
      <w:r w:rsidRPr="00431FFE">
        <w:t xml:space="preserve"> iznosi </w:t>
      </w:r>
      <w:r>
        <w:t>255,65  EUR</w:t>
      </w:r>
      <w:r w:rsidRPr="00431FFE">
        <w:t>. Preneseni višak prihoda iz 202</w:t>
      </w:r>
      <w:r>
        <w:t>3</w:t>
      </w:r>
      <w:r w:rsidRPr="00431FFE">
        <w:t xml:space="preserve">.g. iznosi </w:t>
      </w:r>
      <w:r>
        <w:t xml:space="preserve">396,62 EUR </w:t>
      </w:r>
      <w:r w:rsidRPr="00431FFE">
        <w:t xml:space="preserve"> </w:t>
      </w:r>
      <w:r>
        <w:t xml:space="preserve"> </w:t>
      </w:r>
      <w:r w:rsidRPr="00431FFE">
        <w:t xml:space="preserve"> tako</w:t>
      </w:r>
      <w:r>
        <w:t xml:space="preserve"> da</w:t>
      </w:r>
      <w:r w:rsidRPr="00431FFE">
        <w:t xml:space="preserve"> višak prihoda </w:t>
      </w:r>
      <w:r>
        <w:t xml:space="preserve"> na dan 31.12.</w:t>
      </w:r>
      <w:r w:rsidRPr="00431FFE">
        <w:t xml:space="preserve"> 202</w:t>
      </w:r>
      <w:r>
        <w:t>4</w:t>
      </w:r>
      <w:r w:rsidRPr="00431FFE">
        <w:t xml:space="preserve">. </w:t>
      </w:r>
      <w:r>
        <w:t>g</w:t>
      </w:r>
      <w:r w:rsidRPr="00431FFE">
        <w:t>odin</w:t>
      </w:r>
      <w:r>
        <w:t xml:space="preserve">e </w:t>
      </w:r>
      <w:r w:rsidRPr="00431FFE">
        <w:t xml:space="preserve"> iznosi </w:t>
      </w:r>
      <w:r>
        <w:t>140,97 EUR.</w:t>
      </w:r>
    </w:p>
    <w:p w:rsidR="00782922" w:rsidRDefault="00782922" w:rsidP="00C42A59">
      <w:pPr>
        <w:rPr>
          <w:b/>
        </w:rPr>
      </w:pPr>
    </w:p>
    <w:p w:rsidR="00782922" w:rsidRDefault="00782922" w:rsidP="00C42A59">
      <w:pPr>
        <w:jc w:val="both"/>
        <w:rPr>
          <w:bCs/>
        </w:rPr>
      </w:pPr>
      <w:r w:rsidRPr="000A73AD">
        <w:t xml:space="preserve">       </w:t>
      </w:r>
      <w:r w:rsidRPr="000A73AD">
        <w:rPr>
          <w:b/>
        </w:rPr>
        <w:t xml:space="preserve">Obveze na dan 31.12.2023. godine </w:t>
      </w:r>
    </w:p>
    <w:p w:rsidR="00782922" w:rsidRDefault="00782922" w:rsidP="00782922">
      <w:pPr>
        <w:tabs>
          <w:tab w:val="left" w:pos="6120"/>
        </w:tabs>
        <w:jc w:val="both"/>
        <w:rPr>
          <w:bCs/>
        </w:rPr>
      </w:pPr>
    </w:p>
    <w:p w:rsidR="00C42A59" w:rsidRDefault="00C42A59" w:rsidP="00C42A59">
      <w:pPr>
        <w:jc w:val="both"/>
      </w:pPr>
      <w:r w:rsidRPr="00431FFE">
        <w:t>Stanje obveza na dan 31.12.202</w:t>
      </w:r>
      <w:r>
        <w:t>4</w:t>
      </w:r>
      <w:r w:rsidRPr="00431FFE">
        <w:t xml:space="preserve">. godine iznosi </w:t>
      </w:r>
      <w:r>
        <w:t>60.028,69</w:t>
      </w:r>
      <w:r w:rsidRPr="00431FFE">
        <w:t xml:space="preserve"> </w:t>
      </w:r>
      <w:r>
        <w:tab/>
        <w:t>EUR. Obveze imaju slijedeću strukturu: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956"/>
        <w:gridCol w:w="3861"/>
        <w:gridCol w:w="1577"/>
        <w:gridCol w:w="1134"/>
        <w:gridCol w:w="1134"/>
      </w:tblGrid>
      <w:tr w:rsidR="00C42A59" w:rsidRPr="00142A2A" w:rsidTr="007122DB">
        <w:trPr>
          <w:trHeight w:val="277"/>
        </w:trPr>
        <w:tc>
          <w:tcPr>
            <w:tcW w:w="9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Broj računa</w:t>
            </w:r>
          </w:p>
        </w:tc>
        <w:tc>
          <w:tcPr>
            <w:tcW w:w="386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Naziv računa</w:t>
            </w:r>
          </w:p>
        </w:tc>
        <w:tc>
          <w:tcPr>
            <w:tcW w:w="15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Stanje 01.01.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Stanje 31.12.</w:t>
            </w:r>
          </w:p>
        </w:tc>
        <w:tc>
          <w:tcPr>
            <w:tcW w:w="11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Indeks</w:t>
            </w:r>
          </w:p>
        </w:tc>
      </w:tr>
      <w:tr w:rsidR="00C42A59" w:rsidRPr="00142A2A" w:rsidTr="007122DB">
        <w:trPr>
          <w:trHeight w:val="315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31.835,84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C0C0C0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60.028,69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C0C0C0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188,6%</w:t>
            </w:r>
          </w:p>
        </w:tc>
      </w:tr>
      <w:tr w:rsidR="00C42A59" w:rsidRPr="00142A2A" w:rsidTr="007122DB">
        <w:trPr>
          <w:trHeight w:val="106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plaće - neto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17.603,54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31.775,91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180,5%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2312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naknade plaća – neto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829,64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363,80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43,9%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2314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porez i prirez na dohodak iz plaća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1.193,15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3.515,83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294,7%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doprinose iz plaća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4.354,08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8.681,99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199,4%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2316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doprinose na plaće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3.819,96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7.255,71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189,9%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2317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Ostale obveze za zaposlene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1.273,67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2.359,09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zaposlene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29.074,04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53.952,33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185,6%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2321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Naknade troškova zaposlenima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1.441,42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1.587,27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110,1%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Rashodi za materijal i energiju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462,58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568,77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123,0%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Rashodi za usluge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775,77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1.516,81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195,5%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2329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Ostali nespomenuti rashodi poslovanja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17,00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1.680,00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materijalne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2.696,77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5.352,85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198,5%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2343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ostale financijske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64,42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99,1%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234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Obveze za financijske rashode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65,03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64,42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99,1%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2395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Obveze za predujmove, depozite, primljene jamčevine i ostale nespomenute 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659,09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239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Ostale tekuće obveze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659,09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C42A59" w:rsidRPr="00142A2A" w:rsidTr="007122DB">
        <w:trPr>
          <w:trHeight w:val="54"/>
        </w:trPr>
        <w:tc>
          <w:tcPr>
            <w:tcW w:w="9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61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Obveze za rashode poslovanja</w:t>
            </w:r>
          </w:p>
        </w:tc>
        <w:tc>
          <w:tcPr>
            <w:tcW w:w="1577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31.835,84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60.028,69</w:t>
            </w:r>
          </w:p>
        </w:tc>
        <w:tc>
          <w:tcPr>
            <w:tcW w:w="113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:rsidR="00C42A59" w:rsidRPr="00142A2A" w:rsidRDefault="00C42A59" w:rsidP="007122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42A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188,6%</w:t>
            </w:r>
          </w:p>
        </w:tc>
      </w:tr>
    </w:tbl>
    <w:p w:rsidR="00C42A59" w:rsidRDefault="00C42A59" w:rsidP="00C42A59">
      <w:pPr>
        <w:jc w:val="both"/>
      </w:pPr>
    </w:p>
    <w:p w:rsidR="00C42A59" w:rsidRPr="00473615" w:rsidRDefault="00C42A59" w:rsidP="00C42A59">
      <w:pPr>
        <w:jc w:val="both"/>
      </w:pPr>
      <w:r>
        <w:t xml:space="preserve">            </w:t>
      </w:r>
      <w:r w:rsidRPr="00473615">
        <w:t xml:space="preserve">Povećanje obveza u najvećoj mjeri odnosi se na veće obveze za zaposlene, plaće za prosinac. Tijekom izvještajnog razdoblja osnovica za obračun plaće povećavana je  </w:t>
      </w:r>
      <w:r>
        <w:t>pet puta, a u odnosu na osnovicu od siječnja 570,00 EUR, u listopadu je povećana za gotovo 53% i iznosila je 871,00 EUR.</w:t>
      </w:r>
    </w:p>
    <w:p w:rsidR="00C42A59" w:rsidRDefault="00C42A59" w:rsidP="00C42A59">
      <w:r>
        <w:t xml:space="preserve">           </w:t>
      </w:r>
      <w:r w:rsidRPr="00431FFE">
        <w:t xml:space="preserve">Sve obveze </w:t>
      </w:r>
      <w:r>
        <w:t>Dječjeg vrtića</w:t>
      </w:r>
      <w:r w:rsidRPr="00431FFE">
        <w:t xml:space="preserve"> </w:t>
      </w:r>
      <w:r>
        <w:t xml:space="preserve"> </w:t>
      </w:r>
      <w:r w:rsidRPr="00431FFE">
        <w:t xml:space="preserve"> podmiruju </w:t>
      </w:r>
      <w:r>
        <w:t xml:space="preserve">se </w:t>
      </w:r>
      <w:r w:rsidRPr="00431FFE">
        <w:t>redovito</w:t>
      </w:r>
      <w:r>
        <w:t>,</w:t>
      </w:r>
      <w:r w:rsidRPr="00431FFE">
        <w:t xml:space="preserve"> te se navedeni iznos sastoji od nedospjelih obveza, a tek manji dio u iznosu od </w:t>
      </w:r>
      <w:r>
        <w:t xml:space="preserve">462,68 </w:t>
      </w:r>
      <w:r w:rsidRPr="00431FFE">
        <w:t xml:space="preserve"> </w:t>
      </w:r>
      <w:r>
        <w:t xml:space="preserve">EUR </w:t>
      </w:r>
      <w:r w:rsidRPr="00431FFE">
        <w:t xml:space="preserve"> </w:t>
      </w:r>
      <w:r>
        <w:t xml:space="preserve"> </w:t>
      </w:r>
      <w:r w:rsidRPr="00431FFE">
        <w:t>odnosi</w:t>
      </w:r>
      <w:r>
        <w:t xml:space="preserve"> se</w:t>
      </w:r>
      <w:r w:rsidRPr="00431FFE">
        <w:t xml:space="preserve"> na dospjel</w:t>
      </w:r>
      <w:r>
        <w:t xml:space="preserve">u </w:t>
      </w:r>
      <w:r w:rsidRPr="00431FFE">
        <w:t xml:space="preserve"> obvez</w:t>
      </w:r>
      <w:r>
        <w:t xml:space="preserve">u, </w:t>
      </w:r>
      <w:r w:rsidRPr="00431FFE">
        <w:t>podmirene u siječnju 202</w:t>
      </w:r>
      <w:r>
        <w:t>5</w:t>
      </w:r>
      <w:r w:rsidRPr="00431FFE">
        <w:t>.g.</w:t>
      </w:r>
    </w:p>
    <w:p w:rsidR="00A20708" w:rsidRDefault="00A20708" w:rsidP="00A20708">
      <w:pPr>
        <w:rPr>
          <w:b/>
        </w:rPr>
      </w:pPr>
    </w:p>
    <w:p w:rsidR="00323CDA" w:rsidRDefault="00A20708" w:rsidP="00C42A59">
      <w:pPr>
        <w:pStyle w:val="Bezproreda"/>
        <w:jc w:val="both"/>
        <w:rPr>
          <w:rFonts w:ascii="Times New Roman" w:hAnsi="Times New Roman"/>
          <w:sz w:val="24"/>
          <w:szCs w:val="24"/>
        </w:rPr>
        <w:sectPr w:rsidR="00323CDA" w:rsidSect="00782922">
          <w:pgSz w:w="11906" w:h="16838"/>
          <w:pgMar w:top="1418" w:right="1418" w:bottom="1418" w:left="1418" w:header="720" w:footer="720" w:gutter="0"/>
          <w:cols w:space="720"/>
          <w:docGrid w:linePitch="600" w:charSpace="32768"/>
        </w:sect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A20708" w:rsidRDefault="00323CDA" w:rsidP="00C42A59">
      <w:pPr>
        <w:pStyle w:val="Bezproreda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Pregled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ostvarenja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financijskog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plana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siječanj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prosinac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4820F3">
        <w:rPr>
          <w:rFonts w:ascii="Times New Roman" w:hAnsi="Times New Roman"/>
          <w:sz w:val="24"/>
          <w:szCs w:val="24"/>
          <w:lang w:val="en-US"/>
        </w:rPr>
        <w:t>5</w:t>
      </w:r>
      <w:r>
        <w:rPr>
          <w:rFonts w:ascii="Times New Roman" w:hAnsi="Times New Roman"/>
          <w:sz w:val="24"/>
          <w:szCs w:val="24"/>
          <w:lang w:val="en-US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proračunskim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klasifikacijama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tbl>
      <w:tblPr>
        <w:tblW w:w="12920" w:type="dxa"/>
        <w:tblInd w:w="93" w:type="dxa"/>
        <w:tblLook w:val="04A0" w:firstRow="1" w:lastRow="0" w:firstColumn="1" w:lastColumn="0" w:noHBand="0" w:noVBand="1"/>
      </w:tblPr>
      <w:tblGrid>
        <w:gridCol w:w="7480"/>
        <w:gridCol w:w="1440"/>
        <w:gridCol w:w="1380"/>
        <w:gridCol w:w="1440"/>
        <w:gridCol w:w="1180"/>
      </w:tblGrid>
      <w:tr w:rsidR="004820F3" w:rsidTr="004820F3">
        <w:trPr>
          <w:trHeight w:val="28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820F3" w:rsidRDefault="004820F3" w:rsidP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Proračunski korisnik Dječji vrtić Vrtuljak Marčana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E375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Izvorni plan financijskog plana 2025. godina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E375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Tekući plan financijskog plana 2025. godina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E375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Izvršenje financijskog plana 2025. godina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E3752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Indeks 2025/2024.           (3/2)</w:t>
            </w:r>
          </w:p>
        </w:tc>
      </w:tr>
      <w:tr w:rsidR="004820F3" w:rsidTr="004820F3">
        <w:trPr>
          <w:trHeight w:val="28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820F3" w:rsidRDefault="004820F3" w:rsidP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Izvori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20F3" w:rsidTr="004820F3">
        <w:trPr>
          <w:trHeight w:val="285"/>
        </w:trPr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4820F3" w:rsidRDefault="004820F3" w:rsidP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Projekt/Aktivnost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820F3" w:rsidRDefault="004820F3" w:rsidP="004820F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23CDA" w:rsidRDefault="00323CDA" w:rsidP="00C42A59">
      <w:pPr>
        <w:pStyle w:val="Bezproreda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20" w:type="dxa"/>
        <w:tblInd w:w="93" w:type="dxa"/>
        <w:tblLook w:val="04A0" w:firstRow="1" w:lastRow="0" w:firstColumn="1" w:lastColumn="0" w:noHBand="0" w:noVBand="1"/>
      </w:tblPr>
      <w:tblGrid>
        <w:gridCol w:w="812"/>
        <w:gridCol w:w="54"/>
        <w:gridCol w:w="60"/>
        <w:gridCol w:w="6554"/>
        <w:gridCol w:w="1440"/>
        <w:gridCol w:w="1380"/>
        <w:gridCol w:w="1440"/>
        <w:gridCol w:w="1180"/>
      </w:tblGrid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3020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35597: Proračunski korisnik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DV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Vrtuljak Marčana 35597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919.300,00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919.300,00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860.280,00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93,58%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A100001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Aktivnost: Administrativno, stručno i tehničko osoblje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872.519,00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872.519,00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812.347,18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93,10%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1. Opći prihodi i primici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706.490,00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706.490,00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648.808,38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91,84%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1.1. 01 Opći prihodi i primici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706.490,00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706.490,00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648.808,38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91,84%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Rashodi za zaposlene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616.200,00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616.200,00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601.117,95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97,55%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3111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Plaće za redovan rad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466.861,58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3121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Ostali rashodi za zaposlene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58.136,19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3132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Doprinosi za obvezno zdravstveno osiguranje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76.120,18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90.290,00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90.290,00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47.690,43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52,82%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3212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Naknade za prijevoz, za rad na terenu i odvojeni život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21.076,65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3213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Stručno usavršavanje zaposlenika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1.916,25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Uredski materijal i ostali 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4.419,19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3225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Sitni inventar i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autogume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3.841,70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3232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Usluge tekućeg i investicijskog  održavanja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2.856,00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3234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Komunalne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2.509,77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3236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Zdravstvene i veterinarske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3237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Intelektualne i osobne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1.727,62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3239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1.460,00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3295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Pristojbe i naknade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1.883,25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4. Prihodi za posebne namjene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104.906,03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104.906,03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103.196,33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98,37%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4.4. Prihodi za posebne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boravak roditelji 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soc.program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104.906,03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104.906,03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103.196,33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98,37%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101.885,00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101.885,00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97.911,70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96,10%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3211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Službena putovanja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3.393,02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3213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Stručno usavršavanje zaposlenika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2.723,06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3214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Ostale naknade troškova zaposlenima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3.366,20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Uredski materijal i ostali 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10.162,06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Materijal i sirovine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23.874,40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3223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Energija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1.086,46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62148D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3225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Sitni inventar i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autogume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3.334,12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Usluge telefona,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interneta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pošte i prijevoza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6.646,72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Usluge tekućeg i investicijskog  održavanja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5.953,56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3233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Usluge promidžbe i informiranja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2.012,50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3236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Zdravstvene i veterinarske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2.860,41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3237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Intelektualne i osobne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2.981,64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3238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Računalne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1.455,16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3239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24.236,66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3292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Premije osiguranja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684,32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3293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Reprezentacija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1.355,08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3299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Ostali nespomenuti rashodi poslovanja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40,10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Financijski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1.021,03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1.021,03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889,83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87,15%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3431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Bankarske usluge i usluge platnog prometa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889,83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Rashodi za nabavu proizvedene dugotrajne imovine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4.394,80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219,74%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4221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Uredska oprema i namještaj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3.625,00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4222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Komunikacijska oprema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769,80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5. Pomoći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60.682,00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60.682,00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60.201,50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99,21%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5.1.9 Pomoći fiskalna održivost dječjih vrtića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40.236,00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40.236,00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40.236,00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Rashodi za zaposlene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40.236,00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40.236,00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40.236,00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3111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Plaće za redovan rad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33.754,48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Doprinosi za obvezno zdravstveno osiguranje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6.481,52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5.2. Tekuće pomoći državni proračun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5.696,00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5.696,00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5.484,00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96,28%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5.696,00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5.696,00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5.484,00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96,28%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Materijal i sirovine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5.484,00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5.3. Tekuće pomoći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JLP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(R)S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14.750,00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14.750,00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14.481,50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98,18%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14.750,00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14.750,00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14.481,50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98,18%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Materijal i sirovine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14.481,50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6. Donacije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0,00%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6.2. Donacije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0,00%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0,00%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9. Višak prihoda ranijih godina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140,97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140,97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140,97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9.3. Višak prihoda prethodne godine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140,97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140,97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140,97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140,97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140,97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140,97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Materijal i sirovine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140,97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A100002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Aktivnost: Božićno darivanje predškolske djece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16.063,00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16.063,00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18.283,99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113,83%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1. Opći prihodi i primici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13.500,00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13.500,00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16.452,53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121,87%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1.1. 01 Opći prihodi i primici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13.500,00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13.500,00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16.452,53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121,87%</w:t>
            </w:r>
          </w:p>
        </w:tc>
      </w:tr>
      <w:tr w:rsidR="004820F3" w:rsidTr="004820F3">
        <w:trPr>
          <w:trHeight w:val="195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4.287,50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171,50%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3239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4.287,50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Naknade građanima i kućanstvima na temelju osiguranja i druge naknade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12.165,03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110,59%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3722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Naknade građanima i kućanstvima u naravi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12.165,03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4. Prihodi za posebne namjene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2.563,00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2.563,00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1.831,46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71,46%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4.4. Prihodi za posebne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boravak roditelji 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soc.program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2.563,00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2.563,00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1.831,46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71,46%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2.563,00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2.563,00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1.831,46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71,46%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3233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Usluge promidžbe i informiranja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68,75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3235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Zakupnine i najamnine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1.140,63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3237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Intelektualne i osobne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527,76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3239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Ostale usluge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94,32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A100003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Aktivnost: Provođenje programa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predškole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1.268,00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1.268,00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659,43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52,01%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4. Prihodi za posebne namjene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285,03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35,63%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4.4. Prihodi za posebne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boravak roditelji 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soc.program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285,03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35,63%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285,03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35,63%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3221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Uredski materijal i ostali 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285,03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5. Pomoći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468,00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374,40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80,00%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5.2. Tekuće pomoći državni proračun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468,00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374,40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80,00%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468,00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468,00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374,40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80,00%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3221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Uredski materijal i ostali 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A100004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Aktivnost: Provođenje programa zavičajne nastave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1.450,00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1.585,00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109,31%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4. Prihodi za posebne namjene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450,00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585,00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130,00%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4.4. Prihodi za posebne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boravak roditelji 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soc.program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450,00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450,00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585,00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130,00%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450,00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585,00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130,00%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3231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Usluge telefona,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interneta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, pošte i prijevoza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585,00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5. Pomoći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5.4. Tekuće pomoći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JLP</w:t>
            </w:r>
            <w:proofErr w:type="spellEnd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(R)S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Ist.županija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100,00%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3233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Usluge promidžbe i informiranja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1.000,00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A100009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Aktivnost: Priprema obroka za vanjske korisnike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27.404,40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97,87%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Izvor 3. Vlastiti prihodi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28.000,00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28.000,00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27.404,40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97,87%</w:t>
            </w:r>
          </w:p>
        </w:tc>
      </w:tr>
      <w:tr w:rsidR="004820F3" w:rsidTr="004820F3">
        <w:trPr>
          <w:trHeight w:val="195"/>
        </w:trPr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 xml:space="preserve">Izvor 3.4. Vlastiti prihodi 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PK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28.000,00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28.000,00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27.404,40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  <w:t>97,87%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Materijalni rashodi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28.000,00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27.404,40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97,87%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3222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Materijal i sirovine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27.288,73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  <w:tr w:rsidR="004820F3" w:rsidTr="004820F3">
        <w:trPr>
          <w:trHeight w:val="19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3223</w:t>
            </w:r>
          </w:p>
        </w:tc>
        <w:tc>
          <w:tcPr>
            <w:tcW w:w="6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Energija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115,67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20F3" w:rsidRDefault="004820F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:rsidR="003B0BA6" w:rsidRDefault="003B0BA6" w:rsidP="00BD3D8F">
      <w:pPr>
        <w:jc w:val="both"/>
        <w:rPr>
          <w:b/>
        </w:rPr>
        <w:sectPr w:rsidR="003B0BA6" w:rsidSect="00323CDA">
          <w:pgSz w:w="16838" w:h="11906" w:orient="landscape"/>
          <w:pgMar w:top="1418" w:right="1418" w:bottom="1418" w:left="1418" w:header="720" w:footer="720" w:gutter="0"/>
          <w:cols w:space="720"/>
          <w:docGrid w:linePitch="600" w:charSpace="32768"/>
        </w:sectPr>
      </w:pPr>
    </w:p>
    <w:p w:rsidR="000A5C99" w:rsidRDefault="000A5C99" w:rsidP="004820F3">
      <w:pPr>
        <w:pStyle w:val="Tijeloteksta"/>
        <w:rPr>
          <w:b/>
        </w:rPr>
      </w:pPr>
    </w:p>
    <w:sectPr w:rsidR="000A5C99" w:rsidSect="00323CDA">
      <w:pgSz w:w="16838" w:h="11906" w:orient="landscape"/>
      <w:pgMar w:top="1418" w:right="1418" w:bottom="1418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591"/>
    <w:multiLevelType w:val="hybridMultilevel"/>
    <w:tmpl w:val="6BAAED9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EC4A2C"/>
    <w:multiLevelType w:val="hybridMultilevel"/>
    <w:tmpl w:val="3146C860"/>
    <w:lvl w:ilvl="0" w:tplc="440E2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D3FB7"/>
    <w:multiLevelType w:val="hybridMultilevel"/>
    <w:tmpl w:val="0D1E7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00AA2"/>
    <w:multiLevelType w:val="hybridMultilevel"/>
    <w:tmpl w:val="90F0D54E"/>
    <w:lvl w:ilvl="0" w:tplc="A802DA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A216E"/>
    <w:multiLevelType w:val="hybridMultilevel"/>
    <w:tmpl w:val="36408F80"/>
    <w:lvl w:ilvl="0" w:tplc="041A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2E13AE"/>
    <w:multiLevelType w:val="hybridMultilevel"/>
    <w:tmpl w:val="BA4C6B1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8071B"/>
    <w:multiLevelType w:val="hybridMultilevel"/>
    <w:tmpl w:val="02B2DF22"/>
    <w:lvl w:ilvl="0" w:tplc="C69CE46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1CA3247"/>
    <w:multiLevelType w:val="hybridMultilevel"/>
    <w:tmpl w:val="17BABB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72"/>
    <w:rsid w:val="000371D3"/>
    <w:rsid w:val="000415C1"/>
    <w:rsid w:val="00092CB1"/>
    <w:rsid w:val="000A5C99"/>
    <w:rsid w:val="000A73AD"/>
    <w:rsid w:val="000D17EB"/>
    <w:rsid w:val="000E084E"/>
    <w:rsid w:val="001053A4"/>
    <w:rsid w:val="001267B2"/>
    <w:rsid w:val="00162203"/>
    <w:rsid w:val="00196F46"/>
    <w:rsid w:val="002A522F"/>
    <w:rsid w:val="002E519D"/>
    <w:rsid w:val="00323CDA"/>
    <w:rsid w:val="003B0BA6"/>
    <w:rsid w:val="00424ADB"/>
    <w:rsid w:val="004820F3"/>
    <w:rsid w:val="004A52A0"/>
    <w:rsid w:val="004C3070"/>
    <w:rsid w:val="005010D1"/>
    <w:rsid w:val="00504FE8"/>
    <w:rsid w:val="00587363"/>
    <w:rsid w:val="005D2AB9"/>
    <w:rsid w:val="0062148D"/>
    <w:rsid w:val="00633E90"/>
    <w:rsid w:val="006B26B1"/>
    <w:rsid w:val="007122DB"/>
    <w:rsid w:val="00771227"/>
    <w:rsid w:val="00782922"/>
    <w:rsid w:val="007D5953"/>
    <w:rsid w:val="007F24B6"/>
    <w:rsid w:val="008C4672"/>
    <w:rsid w:val="00901179"/>
    <w:rsid w:val="0090322E"/>
    <w:rsid w:val="0094050F"/>
    <w:rsid w:val="009460CE"/>
    <w:rsid w:val="00972D46"/>
    <w:rsid w:val="0099114A"/>
    <w:rsid w:val="009B6B5E"/>
    <w:rsid w:val="009F5E0E"/>
    <w:rsid w:val="00A1096E"/>
    <w:rsid w:val="00A20708"/>
    <w:rsid w:val="00A2127A"/>
    <w:rsid w:val="00AA00FD"/>
    <w:rsid w:val="00B04619"/>
    <w:rsid w:val="00B52EAB"/>
    <w:rsid w:val="00BA1AE6"/>
    <w:rsid w:val="00BB3CEC"/>
    <w:rsid w:val="00BD3D8F"/>
    <w:rsid w:val="00C11A9C"/>
    <w:rsid w:val="00C42A59"/>
    <w:rsid w:val="00C635DD"/>
    <w:rsid w:val="00CC23F5"/>
    <w:rsid w:val="00D47A10"/>
    <w:rsid w:val="00D77412"/>
    <w:rsid w:val="00D91344"/>
    <w:rsid w:val="00DE197B"/>
    <w:rsid w:val="00E75FEA"/>
    <w:rsid w:val="00EA55F7"/>
    <w:rsid w:val="00EB3FB9"/>
    <w:rsid w:val="00EC3A9B"/>
    <w:rsid w:val="00EC42BF"/>
    <w:rsid w:val="00F5268E"/>
    <w:rsid w:val="00F57B0F"/>
    <w:rsid w:val="00FB4298"/>
    <w:rsid w:val="00FD3563"/>
    <w:rsid w:val="00FD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B4298"/>
    <w:pPr>
      <w:suppressAutoHyphens w:val="0"/>
    </w:pPr>
    <w:rPr>
      <w:rFonts w:ascii="Cambria Math" w:eastAsia="Cambria Math" w:hAnsi="Cambria Math" w:cs="Cambria Math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B4298"/>
    <w:rPr>
      <w:rFonts w:ascii="Cambria Math" w:eastAsia="Cambria Math" w:hAnsi="Cambria Math" w:cs="Cambria Math"/>
      <w:sz w:val="24"/>
      <w:szCs w:val="20"/>
      <w:lang w:eastAsia="hr-HR"/>
    </w:rPr>
  </w:style>
  <w:style w:type="paragraph" w:customStyle="1" w:styleId="Bezproreda1">
    <w:name w:val="Bez proreda1"/>
    <w:rsid w:val="00424AD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5010D1"/>
    <w:pPr>
      <w:suppressAutoHyphens w:val="0"/>
      <w:ind w:left="720"/>
      <w:contextualSpacing/>
    </w:pPr>
    <w:rPr>
      <w:rFonts w:ascii="Cambria Math" w:eastAsia="Cambria Math" w:hAnsi="Cambria Math" w:cs="Cambria Math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D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D4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A20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20708"/>
  </w:style>
  <w:style w:type="character" w:styleId="Naglaeno">
    <w:name w:val="Strong"/>
    <w:uiPriority w:val="22"/>
    <w:qFormat/>
    <w:rsid w:val="00A2070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23CD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CDA"/>
    <w:rPr>
      <w:color w:val="800080"/>
      <w:u w:val="single"/>
    </w:rPr>
  </w:style>
  <w:style w:type="paragraph" w:customStyle="1" w:styleId="xl65">
    <w:name w:val="xl65"/>
    <w:basedOn w:val="Normal"/>
    <w:rsid w:val="00323CDA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6">
    <w:name w:val="xl66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7">
    <w:name w:val="xl67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FFFFFF"/>
      <w:lang w:eastAsia="hr-HR"/>
    </w:rPr>
  </w:style>
  <w:style w:type="paragraph" w:customStyle="1" w:styleId="xl68">
    <w:name w:val="xl68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69">
    <w:name w:val="xl69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0">
    <w:name w:val="xl70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2D2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1">
    <w:name w:val="xl71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2">
    <w:name w:val="xl72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hr-HR"/>
    </w:rPr>
  </w:style>
  <w:style w:type="paragraph" w:customStyle="1" w:styleId="xl73">
    <w:name w:val="xl73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4">
    <w:name w:val="xl74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5">
    <w:name w:val="xl75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B4298"/>
    <w:pPr>
      <w:suppressAutoHyphens w:val="0"/>
    </w:pPr>
    <w:rPr>
      <w:rFonts w:ascii="Cambria Math" w:eastAsia="Cambria Math" w:hAnsi="Cambria Math" w:cs="Cambria Math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B4298"/>
    <w:rPr>
      <w:rFonts w:ascii="Cambria Math" w:eastAsia="Cambria Math" w:hAnsi="Cambria Math" w:cs="Cambria Math"/>
      <w:sz w:val="24"/>
      <w:szCs w:val="20"/>
      <w:lang w:eastAsia="hr-HR"/>
    </w:rPr>
  </w:style>
  <w:style w:type="paragraph" w:customStyle="1" w:styleId="Bezproreda1">
    <w:name w:val="Bez proreda1"/>
    <w:rsid w:val="00424AD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5010D1"/>
    <w:pPr>
      <w:suppressAutoHyphens w:val="0"/>
      <w:ind w:left="720"/>
      <w:contextualSpacing/>
    </w:pPr>
    <w:rPr>
      <w:rFonts w:ascii="Cambria Math" w:eastAsia="Cambria Math" w:hAnsi="Cambria Math" w:cs="Cambria Math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2D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D4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A207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A20708"/>
  </w:style>
  <w:style w:type="character" w:styleId="Naglaeno">
    <w:name w:val="Strong"/>
    <w:uiPriority w:val="22"/>
    <w:qFormat/>
    <w:rsid w:val="00A20708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23CD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3CDA"/>
    <w:rPr>
      <w:color w:val="800080"/>
      <w:u w:val="single"/>
    </w:rPr>
  </w:style>
  <w:style w:type="paragraph" w:customStyle="1" w:styleId="xl65">
    <w:name w:val="xl65"/>
    <w:basedOn w:val="Normal"/>
    <w:rsid w:val="00323CDA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6">
    <w:name w:val="xl66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  <w:style w:type="paragraph" w:customStyle="1" w:styleId="xl67">
    <w:name w:val="xl67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FFFFFF"/>
      <w:lang w:eastAsia="hr-HR"/>
    </w:rPr>
  </w:style>
  <w:style w:type="paragraph" w:customStyle="1" w:styleId="xl68">
    <w:name w:val="xl68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69">
    <w:name w:val="xl69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0">
    <w:name w:val="xl70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2D2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1">
    <w:name w:val="xl71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hr-HR"/>
    </w:rPr>
  </w:style>
  <w:style w:type="paragraph" w:customStyle="1" w:styleId="xl72">
    <w:name w:val="xl72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hr-HR"/>
    </w:rPr>
  </w:style>
  <w:style w:type="paragraph" w:customStyle="1" w:styleId="xl73">
    <w:name w:val="xl73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4">
    <w:name w:val="xl74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hr-HR"/>
    </w:rPr>
  </w:style>
  <w:style w:type="paragraph" w:customStyle="1" w:styleId="xl75">
    <w:name w:val="xl75"/>
    <w:basedOn w:val="Normal"/>
    <w:rsid w:val="00323C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18</Pages>
  <Words>5681</Words>
  <Characters>32384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Korisnik</cp:lastModifiedBy>
  <cp:revision>12</cp:revision>
  <cp:lastPrinted>2026-03-18T07:50:00Z</cp:lastPrinted>
  <dcterms:created xsi:type="dcterms:W3CDTF">2026-03-16T09:09:00Z</dcterms:created>
  <dcterms:modified xsi:type="dcterms:W3CDTF">2026-03-30T14:14:00Z</dcterms:modified>
</cp:coreProperties>
</file>